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B98CAE" w14:textId="31AAE9CC" w:rsidR="008B06D5" w:rsidRPr="00FB3E2C" w:rsidRDefault="008B06D5" w:rsidP="008B06D5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cs="Arial"/>
          <w:b/>
          <w:bCs/>
        </w:rPr>
      </w:pPr>
      <w:bookmarkStart w:id="0" w:name="Title"/>
      <w:bookmarkStart w:id="1" w:name="DocumentFor"/>
      <w:bookmarkEnd w:id="0"/>
      <w:bookmarkEnd w:id="1"/>
      <w:r w:rsidRPr="00FB3E2C">
        <w:rPr>
          <w:rFonts w:ascii="Arial" w:hAnsi="Arial" w:cs="Arial"/>
          <w:b/>
          <w:bCs/>
        </w:rPr>
        <w:t>3GPP TSG-RAN WG4 Meeting # 10</w:t>
      </w:r>
      <w:r>
        <w:rPr>
          <w:rFonts w:ascii="Arial" w:hAnsi="Arial" w:cs="Arial"/>
          <w:b/>
          <w:bCs/>
        </w:rPr>
        <w:t>9</w:t>
      </w:r>
      <w:r w:rsidRPr="00FB3E2C">
        <w:rPr>
          <w:rFonts w:ascii="Arial" w:hAnsi="Arial" w:cs="Arial"/>
          <w:b/>
          <w:bCs/>
        </w:rPr>
        <w:tab/>
      </w:r>
      <w:r w:rsidRPr="00FB3E2C">
        <w:rPr>
          <w:rFonts w:ascii="Arial" w:hAnsi="Arial" w:cs="Arial"/>
          <w:b/>
          <w:bCs/>
        </w:rPr>
        <w:tab/>
      </w:r>
      <w:r w:rsidR="00565E8C" w:rsidRPr="00565E8C">
        <w:rPr>
          <w:rFonts w:ascii="Arial" w:hAnsi="Arial" w:cs="Arial"/>
          <w:b/>
          <w:bCs/>
        </w:rPr>
        <w:t>R4-2320393</w:t>
      </w:r>
    </w:p>
    <w:p w14:paraId="0B56974D" w14:textId="41AABED2" w:rsidR="008B06D5" w:rsidRPr="00FB3E2C" w:rsidRDefault="008B06D5" w:rsidP="008B06D5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cs="Arial"/>
          <w:b/>
          <w:bCs/>
        </w:rPr>
      </w:pPr>
      <w:r w:rsidRPr="008B06D5">
        <w:rPr>
          <w:rFonts w:ascii="Arial" w:hAnsi="Arial" w:cs="Arial"/>
          <w:b/>
          <w:bCs/>
        </w:rPr>
        <w:t>Chicago, US, November 13 – 17</w:t>
      </w:r>
      <w:r w:rsidRPr="00FB3E2C">
        <w:rPr>
          <w:rFonts w:ascii="Arial" w:hAnsi="Arial" w:cs="Arial"/>
          <w:b/>
          <w:bCs/>
        </w:rPr>
        <w:t>, 2023</w:t>
      </w:r>
    </w:p>
    <w:p w14:paraId="13F71F45" w14:textId="77777777" w:rsidR="008B06D5" w:rsidRDefault="008B06D5" w:rsidP="008B06D5">
      <w:pPr>
        <w:widowControl w:val="0"/>
        <w:spacing w:after="180"/>
        <w:jc w:val="both"/>
        <w:rPr>
          <w:rFonts w:ascii="Arial" w:hAnsi="Arial" w:cs="Arial"/>
          <w:b/>
          <w:noProof/>
          <w:lang w:val="sv-SE" w:eastAsia="en-US"/>
        </w:rPr>
      </w:pPr>
    </w:p>
    <w:p w14:paraId="0A7759AF" w14:textId="403A2731" w:rsidR="008B06D5" w:rsidRPr="00FC4644" w:rsidRDefault="008B06D5" w:rsidP="008B06D5">
      <w:pPr>
        <w:widowControl w:val="0"/>
        <w:spacing w:after="180"/>
        <w:jc w:val="both"/>
        <w:rPr>
          <w:rFonts w:ascii="Arial" w:hAnsi="Arial" w:cs="Arial"/>
          <w:b/>
          <w:noProof/>
          <w:lang w:val="sv-SE" w:eastAsia="en-US"/>
        </w:rPr>
      </w:pPr>
      <w:r w:rsidRPr="00FC4644">
        <w:rPr>
          <w:rFonts w:ascii="Arial" w:hAnsi="Arial" w:cs="Arial"/>
          <w:b/>
          <w:noProof/>
          <w:lang w:val="sv-SE" w:eastAsia="en-US"/>
        </w:rPr>
        <w:t>Agenda Item:</w:t>
      </w:r>
      <w:r w:rsidRPr="00FC4644">
        <w:rPr>
          <w:rFonts w:ascii="Arial" w:hAnsi="Arial" w:cs="Arial"/>
          <w:b/>
          <w:noProof/>
          <w:lang w:val="sv-SE" w:eastAsia="en-US"/>
        </w:rPr>
        <w:tab/>
      </w:r>
      <w:r>
        <w:rPr>
          <w:rFonts w:ascii="Arial" w:hAnsi="Arial" w:cs="Arial"/>
          <w:bCs/>
          <w:noProof/>
          <w:lang w:val="sv-SE" w:eastAsia="en-US"/>
        </w:rPr>
        <w:t>11.1.2</w:t>
      </w:r>
    </w:p>
    <w:p w14:paraId="1FB84A38" w14:textId="77777777" w:rsidR="008B06D5" w:rsidRPr="00CF6EC9" w:rsidRDefault="008B06D5" w:rsidP="008B06D5">
      <w:pPr>
        <w:widowControl w:val="0"/>
        <w:spacing w:after="180"/>
        <w:jc w:val="both"/>
        <w:rPr>
          <w:rFonts w:ascii="Arial" w:hAnsi="Arial" w:cs="Arial"/>
          <w:b/>
          <w:noProof/>
          <w:lang w:eastAsia="en-US"/>
        </w:rPr>
      </w:pPr>
      <w:r w:rsidRPr="00CF6EC9">
        <w:rPr>
          <w:rFonts w:ascii="Arial" w:hAnsi="Arial" w:cs="Arial"/>
          <w:b/>
          <w:noProof/>
          <w:lang w:eastAsia="en-US"/>
        </w:rPr>
        <w:t xml:space="preserve">Source: </w:t>
      </w:r>
      <w:r w:rsidRPr="00CF6EC9">
        <w:rPr>
          <w:rFonts w:ascii="Arial" w:hAnsi="Arial" w:cs="Arial"/>
          <w:b/>
          <w:noProof/>
          <w:lang w:eastAsia="en-US"/>
        </w:rPr>
        <w:tab/>
      </w:r>
      <w:r w:rsidRPr="00CF6EC9">
        <w:rPr>
          <w:rFonts w:ascii="Arial" w:hAnsi="Arial" w:cs="Arial"/>
          <w:b/>
          <w:noProof/>
          <w:lang w:eastAsia="en-US"/>
        </w:rPr>
        <w:tab/>
      </w:r>
      <w:r w:rsidRPr="00CF6EC9">
        <w:rPr>
          <w:rFonts w:ascii="Arial" w:hAnsi="Arial"/>
          <w:bCs/>
          <w:noProof/>
          <w:lang w:eastAsia="en-US"/>
        </w:rPr>
        <w:t>Qualcomm Incorporated</w:t>
      </w:r>
    </w:p>
    <w:p w14:paraId="7C04104B" w14:textId="782866BF" w:rsidR="008B06D5" w:rsidRPr="00C757FF" w:rsidRDefault="008B06D5" w:rsidP="008B06D5">
      <w:pPr>
        <w:widowControl w:val="0"/>
        <w:spacing w:after="180"/>
        <w:ind w:left="2160" w:hanging="2160"/>
        <w:jc w:val="both"/>
        <w:rPr>
          <w:rFonts w:ascii="Arial" w:hAnsi="Arial"/>
          <w:bCs/>
          <w:noProof/>
          <w:lang w:eastAsia="en-US"/>
        </w:rPr>
      </w:pPr>
      <w:r w:rsidRPr="00CF6EC9">
        <w:rPr>
          <w:rFonts w:ascii="Arial" w:hAnsi="Arial" w:cs="Arial"/>
          <w:b/>
          <w:noProof/>
          <w:lang w:eastAsia="en-US"/>
        </w:rPr>
        <w:t xml:space="preserve">Title: </w:t>
      </w:r>
      <w:r w:rsidRPr="00CF6EC9">
        <w:rPr>
          <w:rFonts w:ascii="Arial" w:hAnsi="Arial" w:cs="Arial"/>
          <w:b/>
          <w:noProof/>
          <w:lang w:eastAsia="en-US"/>
        </w:rPr>
        <w:tab/>
      </w:r>
      <w:r w:rsidRPr="00C77DCF">
        <w:rPr>
          <w:rFonts w:ascii="Arial" w:hAnsi="Arial" w:cs="Arial"/>
          <w:bCs/>
          <w:noProof/>
          <w:lang w:eastAsia="en-US"/>
        </w:rPr>
        <w:t xml:space="preserve">Discussion on </w:t>
      </w:r>
      <w:r>
        <w:rPr>
          <w:rFonts w:ascii="Arial" w:hAnsi="Arial" w:cs="Arial"/>
          <w:bCs/>
          <w:noProof/>
          <w:lang w:eastAsia="en-US"/>
        </w:rPr>
        <w:t>CA aggregated BW capability</w:t>
      </w:r>
    </w:p>
    <w:p w14:paraId="42F2182A" w14:textId="77777777" w:rsidR="008B06D5" w:rsidRPr="00E912AA" w:rsidRDefault="008B06D5" w:rsidP="008B06D5">
      <w:pPr>
        <w:widowControl w:val="0"/>
        <w:spacing w:after="180"/>
        <w:jc w:val="both"/>
        <w:rPr>
          <w:rFonts w:ascii="Arial" w:hAnsi="Arial" w:cs="Arial"/>
          <w:b/>
          <w:noProof/>
          <w:lang w:eastAsia="en-US"/>
        </w:rPr>
      </w:pPr>
      <w:r w:rsidRPr="00CF6EC9">
        <w:rPr>
          <w:rFonts w:ascii="Arial" w:hAnsi="Arial" w:cs="Arial"/>
          <w:b/>
          <w:noProof/>
          <w:lang w:eastAsia="en-US"/>
        </w:rPr>
        <w:t>Document for:</w:t>
      </w:r>
      <w:r w:rsidRPr="00CF6EC9">
        <w:rPr>
          <w:rFonts w:ascii="Arial" w:hAnsi="Arial" w:cs="Arial"/>
          <w:b/>
          <w:noProof/>
          <w:lang w:eastAsia="en-US"/>
        </w:rPr>
        <w:tab/>
      </w:r>
      <w:r>
        <w:rPr>
          <w:rFonts w:ascii="Arial" w:hAnsi="Arial" w:cs="Arial"/>
          <w:bCs/>
          <w:noProof/>
          <w:lang w:eastAsia="en-US"/>
        </w:rPr>
        <w:t>Approval</w:t>
      </w:r>
    </w:p>
    <w:p w14:paraId="5C95D41B" w14:textId="77777777" w:rsidR="008B06D5" w:rsidRDefault="008B06D5" w:rsidP="008B06D5">
      <w:pPr>
        <w:pStyle w:val="Heading1"/>
      </w:pPr>
      <w:r>
        <w:t xml:space="preserve">1 </w:t>
      </w:r>
      <w:r w:rsidRPr="004D3578">
        <w:t>Introduction</w:t>
      </w:r>
      <w:r>
        <w:t xml:space="preserve"> </w:t>
      </w:r>
    </w:p>
    <w:p w14:paraId="6791F759" w14:textId="667AF35D" w:rsidR="00E34E25" w:rsidRPr="00025822" w:rsidRDefault="008B06D5" w:rsidP="008B06D5">
      <w:pPr>
        <w:spacing w:after="180"/>
        <w:jc w:val="both"/>
        <w:rPr>
          <w:sz w:val="22"/>
          <w:szCs w:val="22"/>
        </w:rPr>
      </w:pPr>
      <w:r w:rsidRPr="00025822">
        <w:rPr>
          <w:sz w:val="22"/>
          <w:szCs w:val="22"/>
        </w:rPr>
        <w:t>In RAN4#</w:t>
      </w:r>
      <w:r w:rsidR="00E34E25" w:rsidRPr="00025822">
        <w:rPr>
          <w:sz w:val="22"/>
          <w:szCs w:val="22"/>
        </w:rPr>
        <w:t>106</w:t>
      </w:r>
      <w:r w:rsidRPr="00025822">
        <w:rPr>
          <w:sz w:val="22"/>
          <w:szCs w:val="22"/>
        </w:rPr>
        <w:t xml:space="preserve">, </w:t>
      </w:r>
      <w:r w:rsidR="00E34E25" w:rsidRPr="00025822">
        <w:rPr>
          <w:sz w:val="22"/>
          <w:szCs w:val="22"/>
        </w:rPr>
        <w:t xml:space="preserve">an LS on UE </w:t>
      </w:r>
      <w:proofErr w:type="spellStart"/>
      <w:r w:rsidR="00E34E25" w:rsidRPr="00025822">
        <w:rPr>
          <w:sz w:val="22"/>
          <w:szCs w:val="22"/>
        </w:rPr>
        <w:t>signalling</w:t>
      </w:r>
      <w:proofErr w:type="spellEnd"/>
      <w:r w:rsidR="00E34E25" w:rsidRPr="00025822">
        <w:rPr>
          <w:sz w:val="22"/>
          <w:szCs w:val="22"/>
        </w:rPr>
        <w:t xml:space="preserve"> for the maximum aggregated bandwidth for FR1 CA was sent to RAN2 </w:t>
      </w:r>
      <w:r w:rsidR="00A41391">
        <w:rPr>
          <w:sz w:val="22"/>
          <w:szCs w:val="22"/>
        </w:rPr>
        <w:t>asking if</w:t>
      </w:r>
      <w:r w:rsidR="00E34E25" w:rsidRPr="00025822">
        <w:rPr>
          <w:sz w:val="22"/>
          <w:szCs w:val="22"/>
        </w:rPr>
        <w:t xml:space="preserve"> an IE for aggregated bandwidth for </w:t>
      </w:r>
      <w:r w:rsidR="00905D1F" w:rsidRPr="00025822">
        <w:rPr>
          <w:sz w:val="22"/>
          <w:szCs w:val="22"/>
        </w:rPr>
        <w:t xml:space="preserve">FR1 </w:t>
      </w:r>
      <w:r w:rsidR="00E34E25" w:rsidRPr="00025822">
        <w:rPr>
          <w:sz w:val="22"/>
          <w:szCs w:val="22"/>
        </w:rPr>
        <w:t xml:space="preserve">CA </w:t>
      </w:r>
      <w:r w:rsidR="00A41391">
        <w:rPr>
          <w:sz w:val="22"/>
          <w:szCs w:val="22"/>
        </w:rPr>
        <w:t>could be introduced</w:t>
      </w:r>
      <w:r w:rsidR="00905D1F" w:rsidRPr="00025822">
        <w:rPr>
          <w:sz w:val="22"/>
          <w:szCs w:val="22"/>
        </w:rPr>
        <w:t xml:space="preserve"> </w:t>
      </w:r>
      <w:r w:rsidR="00A41391">
        <w:rPr>
          <w:sz w:val="22"/>
          <w:szCs w:val="22"/>
        </w:rPr>
        <w:t xml:space="preserve">for </w:t>
      </w:r>
      <w:proofErr w:type="spellStart"/>
      <w:r w:rsidR="00905D1F" w:rsidRPr="00025822">
        <w:rPr>
          <w:sz w:val="22"/>
          <w:szCs w:val="22"/>
        </w:rPr>
        <w:t>signalling</w:t>
      </w:r>
      <w:proofErr w:type="spellEnd"/>
      <w:r w:rsidR="00E34E25" w:rsidRPr="00025822">
        <w:rPr>
          <w:sz w:val="22"/>
          <w:szCs w:val="22"/>
        </w:rPr>
        <w:t xml:space="preserve"> overhead</w:t>
      </w:r>
      <w:r w:rsidR="00905D1F" w:rsidRPr="00025822">
        <w:rPr>
          <w:sz w:val="22"/>
          <w:szCs w:val="22"/>
        </w:rPr>
        <w:t xml:space="preserve"> </w:t>
      </w:r>
      <w:r w:rsidR="00A41391">
        <w:rPr>
          <w:sz w:val="22"/>
          <w:szCs w:val="22"/>
        </w:rPr>
        <w:t xml:space="preserve">reduction </w:t>
      </w:r>
      <w:r w:rsidR="00905D1F" w:rsidRPr="00025822">
        <w:rPr>
          <w:sz w:val="22"/>
          <w:szCs w:val="22"/>
        </w:rPr>
        <w:t>[1]</w:t>
      </w:r>
      <w:r w:rsidR="00E34E25" w:rsidRPr="00025822">
        <w:rPr>
          <w:sz w:val="22"/>
          <w:szCs w:val="22"/>
        </w:rPr>
        <w:t>.</w:t>
      </w:r>
      <w:r w:rsidR="009E59E4" w:rsidRPr="00025822">
        <w:rPr>
          <w:sz w:val="22"/>
          <w:szCs w:val="22"/>
        </w:rPr>
        <w:t xml:space="preserve"> In RAN2#123bis, an LS on the CA Aggregated BW capability signaling by the UE was sent to RAN4 with the RAN2</w:t>
      </w:r>
      <w:r w:rsidR="00786912">
        <w:rPr>
          <w:sz w:val="22"/>
          <w:szCs w:val="22"/>
        </w:rPr>
        <w:t>’s</w:t>
      </w:r>
      <w:r w:rsidR="009E59E4" w:rsidRPr="00025822">
        <w:rPr>
          <w:sz w:val="22"/>
          <w:szCs w:val="22"/>
        </w:rPr>
        <w:t xml:space="preserve"> agreements and questions about </w:t>
      </w:r>
      <w:r w:rsidR="0044572A" w:rsidRPr="00025822">
        <w:rPr>
          <w:rFonts w:eastAsiaTheme="minorEastAsia" w:hint="eastAsia"/>
          <w:sz w:val="22"/>
          <w:szCs w:val="22"/>
        </w:rPr>
        <w:t>w</w:t>
      </w:r>
      <w:r w:rsidR="0044572A" w:rsidRPr="00025822">
        <w:rPr>
          <w:rFonts w:eastAsiaTheme="minorEastAsia"/>
          <w:sz w:val="22"/>
          <w:szCs w:val="22"/>
        </w:rPr>
        <w:t xml:space="preserve">hether to </w:t>
      </w:r>
      <w:r w:rsidR="00C628BF" w:rsidRPr="00025822">
        <w:rPr>
          <w:rFonts w:eastAsiaTheme="minorEastAsia"/>
          <w:sz w:val="22"/>
          <w:szCs w:val="22"/>
        </w:rPr>
        <w:t>introduce</w:t>
      </w:r>
      <w:r w:rsidR="0044572A" w:rsidRPr="00025822">
        <w:rPr>
          <w:rFonts w:eastAsiaTheme="minorEastAsia"/>
          <w:sz w:val="22"/>
          <w:szCs w:val="22"/>
        </w:rPr>
        <w:t xml:space="preserve"> </w:t>
      </w:r>
      <w:r w:rsidR="009E59E4" w:rsidRPr="00025822">
        <w:rPr>
          <w:sz w:val="22"/>
          <w:szCs w:val="22"/>
        </w:rPr>
        <w:t>aggregated MIMO layer</w:t>
      </w:r>
      <w:r w:rsidR="00C628BF" w:rsidRPr="00025822">
        <w:rPr>
          <w:sz w:val="22"/>
          <w:szCs w:val="22"/>
        </w:rPr>
        <w:t>s capability</w:t>
      </w:r>
      <w:r w:rsidR="0044572A" w:rsidRPr="00025822">
        <w:rPr>
          <w:sz w:val="22"/>
          <w:szCs w:val="22"/>
        </w:rPr>
        <w:t>, apply BCS5 to NR-DC</w:t>
      </w:r>
      <w:r w:rsidR="002F71C8">
        <w:rPr>
          <w:sz w:val="22"/>
          <w:szCs w:val="22"/>
        </w:rPr>
        <w:t xml:space="preserve"> </w:t>
      </w:r>
      <w:r w:rsidR="0044572A" w:rsidRPr="00025822">
        <w:rPr>
          <w:sz w:val="22"/>
          <w:szCs w:val="22"/>
        </w:rPr>
        <w:t>and include conversion ratio</w:t>
      </w:r>
      <w:r w:rsidR="00570926" w:rsidRPr="00025822">
        <w:rPr>
          <w:sz w:val="22"/>
          <w:szCs w:val="22"/>
        </w:rPr>
        <w:t xml:space="preserve"> for the new </w:t>
      </w:r>
      <w:proofErr w:type="spellStart"/>
      <w:r w:rsidR="00C628BF" w:rsidRPr="00025822">
        <w:rPr>
          <w:sz w:val="22"/>
          <w:szCs w:val="22"/>
        </w:rPr>
        <w:t>signalling</w:t>
      </w:r>
      <w:proofErr w:type="spellEnd"/>
      <w:r w:rsidR="00570926" w:rsidRPr="00025822">
        <w:rPr>
          <w:sz w:val="22"/>
          <w:szCs w:val="22"/>
        </w:rPr>
        <w:t xml:space="preserve"> [2]. In this paper, we provide our view</w:t>
      </w:r>
      <w:r w:rsidR="0060595F">
        <w:rPr>
          <w:sz w:val="22"/>
          <w:szCs w:val="22"/>
        </w:rPr>
        <w:t>s</w:t>
      </w:r>
      <w:r w:rsidR="00570926" w:rsidRPr="00025822">
        <w:rPr>
          <w:sz w:val="22"/>
          <w:szCs w:val="22"/>
        </w:rPr>
        <w:t xml:space="preserve"> on the above questions.</w:t>
      </w:r>
    </w:p>
    <w:p w14:paraId="6D5FF79F" w14:textId="77777777" w:rsidR="008B06D5" w:rsidRDefault="008B06D5" w:rsidP="008B06D5">
      <w:pPr>
        <w:pStyle w:val="Heading1"/>
      </w:pPr>
      <w:r>
        <w:t xml:space="preserve">2 Discussion </w:t>
      </w:r>
    </w:p>
    <w:p w14:paraId="15AB7CD6" w14:textId="37FF88CE" w:rsidR="008B06D5" w:rsidRDefault="008B06D5" w:rsidP="008B06D5">
      <w:pPr>
        <w:pStyle w:val="Heading2"/>
        <w:tabs>
          <w:tab w:val="left" w:pos="5260"/>
        </w:tabs>
        <w:spacing w:after="240"/>
        <w:rPr>
          <w:rFonts w:ascii="Arial" w:hAnsi="Arial" w:cs="Arial"/>
          <w:color w:val="auto"/>
          <w:sz w:val="32"/>
          <w:szCs w:val="32"/>
        </w:rPr>
      </w:pPr>
      <w:r w:rsidRPr="0004132B">
        <w:rPr>
          <w:rFonts w:ascii="Arial" w:hAnsi="Arial" w:cs="Arial"/>
          <w:color w:val="auto"/>
          <w:sz w:val="32"/>
          <w:szCs w:val="32"/>
        </w:rPr>
        <w:t>2.</w:t>
      </w:r>
      <w:r>
        <w:rPr>
          <w:rFonts w:ascii="Arial" w:hAnsi="Arial" w:cs="Arial"/>
          <w:color w:val="auto"/>
          <w:sz w:val="32"/>
          <w:szCs w:val="32"/>
        </w:rPr>
        <w:t>1</w:t>
      </w:r>
      <w:r w:rsidRPr="0004132B">
        <w:rPr>
          <w:rFonts w:ascii="Arial" w:hAnsi="Arial" w:cs="Arial"/>
          <w:color w:val="auto"/>
          <w:sz w:val="32"/>
          <w:szCs w:val="32"/>
        </w:rPr>
        <w:t xml:space="preserve"> </w:t>
      </w:r>
      <w:r w:rsidR="00CA7369">
        <w:rPr>
          <w:rFonts w:ascii="Arial" w:hAnsi="Arial" w:cs="Arial"/>
          <w:color w:val="auto"/>
          <w:sz w:val="32"/>
          <w:szCs w:val="32"/>
        </w:rPr>
        <w:t>Aggregated MIMO layers capability</w:t>
      </w:r>
    </w:p>
    <w:p w14:paraId="3995E8A4" w14:textId="5F0F2167" w:rsidR="00F45806" w:rsidRPr="00025822" w:rsidRDefault="00C628BF" w:rsidP="00912E5F">
      <w:pPr>
        <w:spacing w:after="120"/>
        <w:jc w:val="both"/>
        <w:rPr>
          <w:sz w:val="22"/>
          <w:szCs w:val="22"/>
        </w:rPr>
      </w:pPr>
      <w:r w:rsidRPr="00025822">
        <w:rPr>
          <w:sz w:val="22"/>
          <w:szCs w:val="22"/>
        </w:rPr>
        <w:t>In previous RAN4 discussions on the</w:t>
      </w:r>
      <w:r w:rsidR="0060595F">
        <w:rPr>
          <w:sz w:val="22"/>
          <w:szCs w:val="22"/>
        </w:rPr>
        <w:t xml:space="preserve"> UE</w:t>
      </w:r>
      <w:r w:rsidRPr="00025822">
        <w:rPr>
          <w:sz w:val="22"/>
          <w:szCs w:val="22"/>
        </w:rPr>
        <w:t xml:space="preserve"> </w:t>
      </w:r>
      <w:r w:rsidR="0060595F">
        <w:rPr>
          <w:sz w:val="22"/>
          <w:szCs w:val="22"/>
        </w:rPr>
        <w:t xml:space="preserve">maximum </w:t>
      </w:r>
      <w:r w:rsidRPr="00025822">
        <w:rPr>
          <w:sz w:val="22"/>
          <w:szCs w:val="22"/>
        </w:rPr>
        <w:t>aggregated BW</w:t>
      </w:r>
      <w:r w:rsidR="0060595F">
        <w:rPr>
          <w:sz w:val="22"/>
          <w:szCs w:val="22"/>
        </w:rPr>
        <w:t xml:space="preserve"> capability</w:t>
      </w:r>
      <w:r w:rsidRPr="00025822">
        <w:rPr>
          <w:sz w:val="22"/>
          <w:szCs w:val="22"/>
        </w:rPr>
        <w:t xml:space="preserve">, </w:t>
      </w:r>
      <w:r w:rsidR="0060595F">
        <w:rPr>
          <w:sz w:val="22"/>
          <w:szCs w:val="22"/>
        </w:rPr>
        <w:t>the idea of introducing</w:t>
      </w:r>
      <w:r w:rsidR="00F45806" w:rsidRPr="00025822">
        <w:rPr>
          <w:sz w:val="22"/>
          <w:szCs w:val="22"/>
        </w:rPr>
        <w:t xml:space="preserve"> </w:t>
      </w:r>
      <w:r w:rsidRPr="00025822">
        <w:rPr>
          <w:sz w:val="22"/>
          <w:szCs w:val="22"/>
        </w:rPr>
        <w:t xml:space="preserve">MIMO layers </w:t>
      </w:r>
      <w:r w:rsidR="00F45806" w:rsidRPr="00025822">
        <w:rPr>
          <w:sz w:val="22"/>
          <w:szCs w:val="22"/>
        </w:rPr>
        <w:t xml:space="preserve">has </w:t>
      </w:r>
      <w:r w:rsidR="0060595F">
        <w:rPr>
          <w:sz w:val="22"/>
          <w:szCs w:val="22"/>
        </w:rPr>
        <w:t xml:space="preserve">been </w:t>
      </w:r>
      <w:r w:rsidR="00F45806" w:rsidRPr="00025822">
        <w:rPr>
          <w:sz w:val="22"/>
          <w:szCs w:val="22"/>
        </w:rPr>
        <w:t xml:space="preserve">discussed as one of factors affecting aggregated BW for </w:t>
      </w:r>
      <w:r w:rsidR="0060595F">
        <w:rPr>
          <w:sz w:val="22"/>
          <w:szCs w:val="22"/>
        </w:rPr>
        <w:t xml:space="preserve">FR1 </w:t>
      </w:r>
      <w:r w:rsidR="00F45806" w:rsidRPr="00025822">
        <w:rPr>
          <w:sz w:val="22"/>
          <w:szCs w:val="22"/>
        </w:rPr>
        <w:t>CA band combination</w:t>
      </w:r>
      <w:r w:rsidR="0060595F">
        <w:rPr>
          <w:sz w:val="22"/>
          <w:szCs w:val="22"/>
        </w:rPr>
        <w:t>s</w:t>
      </w:r>
      <w:r w:rsidR="00F45806" w:rsidRPr="00025822">
        <w:rPr>
          <w:sz w:val="22"/>
          <w:szCs w:val="22"/>
        </w:rPr>
        <w:t xml:space="preserve">. But it was not captured in [1] since we have </w:t>
      </w:r>
      <w:r w:rsidR="00B22F3A">
        <w:rPr>
          <w:sz w:val="22"/>
          <w:szCs w:val="22"/>
        </w:rPr>
        <w:t xml:space="preserve">already </w:t>
      </w:r>
      <w:r w:rsidR="00F45806" w:rsidRPr="00025822">
        <w:rPr>
          <w:sz w:val="22"/>
          <w:szCs w:val="22"/>
        </w:rPr>
        <w:t>considered to use separated IEs for TDD and FDD aggregated BW</w:t>
      </w:r>
      <w:r w:rsidR="00B22F3A">
        <w:rPr>
          <w:sz w:val="22"/>
          <w:szCs w:val="22"/>
        </w:rPr>
        <w:t xml:space="preserve"> separately</w:t>
      </w:r>
      <w:r w:rsidR="00F45806" w:rsidRPr="00025822">
        <w:rPr>
          <w:sz w:val="22"/>
          <w:szCs w:val="22"/>
        </w:rPr>
        <w:t xml:space="preserve">. </w:t>
      </w:r>
      <w:r w:rsidR="00FA7E9B">
        <w:rPr>
          <w:sz w:val="22"/>
          <w:szCs w:val="22"/>
        </w:rPr>
        <w:t xml:space="preserve">For TDD, </w:t>
      </w:r>
      <w:r w:rsidR="00F45806" w:rsidRPr="00025822">
        <w:rPr>
          <w:sz w:val="22"/>
          <w:szCs w:val="22"/>
        </w:rPr>
        <w:t>most of the TDD bands are supporting a maximum MIMO layer of 4</w:t>
      </w:r>
      <w:r w:rsidR="00FA7E9B">
        <w:rPr>
          <w:sz w:val="22"/>
          <w:szCs w:val="22"/>
        </w:rPr>
        <w:t xml:space="preserve"> </w:t>
      </w:r>
      <w:r w:rsidR="00FA7E9B" w:rsidRPr="00025822">
        <w:rPr>
          <w:sz w:val="22"/>
          <w:szCs w:val="22"/>
        </w:rPr>
        <w:t>per CC</w:t>
      </w:r>
      <w:r w:rsidR="00F45806" w:rsidRPr="00025822">
        <w:rPr>
          <w:sz w:val="22"/>
          <w:szCs w:val="22"/>
        </w:rPr>
        <w:t xml:space="preserve">. For FDD, the common case is the maximum MIMO layer per CC is 2. Therefore, </w:t>
      </w:r>
      <w:r w:rsidR="003F0F2D" w:rsidRPr="00025822">
        <w:rPr>
          <w:sz w:val="22"/>
          <w:szCs w:val="22"/>
        </w:rPr>
        <w:t>taking into account the simplicity of signaling design as much as possible, aggregated MIMO layer capability was not suggested in [1]</w:t>
      </w:r>
      <w:r w:rsidR="00912E5F" w:rsidRPr="00025822">
        <w:rPr>
          <w:sz w:val="22"/>
          <w:szCs w:val="22"/>
        </w:rPr>
        <w:t>.</w:t>
      </w:r>
    </w:p>
    <w:p w14:paraId="26F9D2C4" w14:textId="0D300CD7" w:rsidR="00912E5F" w:rsidRPr="00025822" w:rsidRDefault="00912E5F" w:rsidP="00912E5F">
      <w:pPr>
        <w:spacing w:after="120"/>
        <w:jc w:val="both"/>
        <w:rPr>
          <w:b/>
          <w:bCs/>
          <w:sz w:val="22"/>
          <w:szCs w:val="22"/>
        </w:rPr>
      </w:pPr>
      <w:r w:rsidRPr="00025822">
        <w:rPr>
          <w:b/>
          <w:bCs/>
          <w:sz w:val="22"/>
          <w:szCs w:val="22"/>
        </w:rPr>
        <w:t>Observation 1: Aggregated MIMO layer capability was not suggested in [1] taking into account the simplicity of signaling design.</w:t>
      </w:r>
    </w:p>
    <w:p w14:paraId="0035032D" w14:textId="263C4F29" w:rsidR="00F45806" w:rsidRDefault="00912E5F" w:rsidP="00316A20">
      <w:pPr>
        <w:pStyle w:val="Heading2"/>
        <w:tabs>
          <w:tab w:val="left" w:pos="5260"/>
        </w:tabs>
        <w:spacing w:after="240"/>
        <w:rPr>
          <w:rFonts w:ascii="Arial" w:hAnsi="Arial" w:cs="Arial"/>
          <w:color w:val="auto"/>
          <w:sz w:val="32"/>
          <w:szCs w:val="32"/>
        </w:rPr>
      </w:pPr>
      <w:r w:rsidRPr="0004132B">
        <w:rPr>
          <w:rFonts w:ascii="Arial" w:hAnsi="Arial" w:cs="Arial"/>
          <w:color w:val="auto"/>
          <w:sz w:val="32"/>
          <w:szCs w:val="32"/>
        </w:rPr>
        <w:t>2.</w:t>
      </w:r>
      <w:r>
        <w:rPr>
          <w:rFonts w:ascii="Arial" w:hAnsi="Arial" w:cs="Arial"/>
          <w:color w:val="auto"/>
          <w:sz w:val="32"/>
          <w:szCs w:val="32"/>
        </w:rPr>
        <w:t>2</w:t>
      </w:r>
      <w:r w:rsidRPr="0004132B">
        <w:rPr>
          <w:rFonts w:ascii="Arial" w:hAnsi="Arial" w:cs="Arial"/>
          <w:color w:val="auto"/>
          <w:sz w:val="32"/>
          <w:szCs w:val="32"/>
        </w:rPr>
        <w:t xml:space="preserve"> </w:t>
      </w:r>
      <w:r w:rsidR="00B53B25">
        <w:rPr>
          <w:rFonts w:ascii="Arial" w:hAnsi="Arial" w:cs="Arial"/>
          <w:color w:val="auto"/>
          <w:sz w:val="32"/>
          <w:szCs w:val="32"/>
        </w:rPr>
        <w:t>Aggregated BW a</w:t>
      </w:r>
      <w:r>
        <w:rPr>
          <w:rFonts w:ascii="Arial" w:hAnsi="Arial" w:cs="Arial"/>
          <w:color w:val="auto"/>
          <w:sz w:val="32"/>
          <w:szCs w:val="32"/>
        </w:rPr>
        <w:t>pplicability for NR</w:t>
      </w:r>
      <w:r w:rsidR="008C09B3">
        <w:rPr>
          <w:rFonts w:ascii="Arial" w:hAnsi="Arial" w:cs="Arial"/>
          <w:color w:val="auto"/>
          <w:sz w:val="32"/>
          <w:szCs w:val="32"/>
        </w:rPr>
        <w:t xml:space="preserve"> </w:t>
      </w:r>
      <w:r>
        <w:rPr>
          <w:rFonts w:ascii="Arial" w:hAnsi="Arial" w:cs="Arial"/>
          <w:color w:val="auto"/>
          <w:sz w:val="32"/>
          <w:szCs w:val="32"/>
        </w:rPr>
        <w:t>DC</w:t>
      </w:r>
    </w:p>
    <w:p w14:paraId="32E9EA65" w14:textId="2C3E6246" w:rsidR="00316A20" w:rsidRPr="00025822" w:rsidRDefault="00316A20" w:rsidP="00944CEC">
      <w:pPr>
        <w:jc w:val="both"/>
        <w:rPr>
          <w:sz w:val="22"/>
          <w:szCs w:val="22"/>
        </w:rPr>
      </w:pPr>
      <w:r w:rsidRPr="00025822">
        <w:rPr>
          <w:rFonts w:hint="eastAsia"/>
          <w:sz w:val="22"/>
          <w:szCs w:val="22"/>
        </w:rPr>
        <w:t>BCS</w:t>
      </w:r>
      <w:r w:rsidRPr="00025822">
        <w:rPr>
          <w:sz w:val="22"/>
          <w:szCs w:val="22"/>
        </w:rPr>
        <w:t>4/BCS5 was originally proposed for NR</w:t>
      </w:r>
      <w:r w:rsidR="008C09B3" w:rsidRPr="00025822">
        <w:rPr>
          <w:sz w:val="22"/>
          <w:szCs w:val="22"/>
        </w:rPr>
        <w:t xml:space="preserve"> </w:t>
      </w:r>
      <w:r w:rsidRPr="00025822">
        <w:rPr>
          <w:sz w:val="22"/>
          <w:szCs w:val="22"/>
        </w:rPr>
        <w:t xml:space="preserve">CA in RAN4. </w:t>
      </w:r>
      <w:r w:rsidR="0025722B">
        <w:rPr>
          <w:sz w:val="22"/>
          <w:szCs w:val="22"/>
        </w:rPr>
        <w:t xml:space="preserve">Hence </w:t>
      </w:r>
      <w:r w:rsidRPr="00025822">
        <w:rPr>
          <w:sz w:val="22"/>
          <w:szCs w:val="22"/>
        </w:rPr>
        <w:t>in [1], the request is only for aggregated BW for FR1 NR</w:t>
      </w:r>
      <w:r w:rsidR="008C09B3" w:rsidRPr="00025822">
        <w:rPr>
          <w:sz w:val="22"/>
          <w:szCs w:val="22"/>
        </w:rPr>
        <w:t xml:space="preserve"> </w:t>
      </w:r>
      <w:r w:rsidRPr="00025822">
        <w:rPr>
          <w:sz w:val="22"/>
          <w:szCs w:val="22"/>
        </w:rPr>
        <w:t xml:space="preserve">CA. </w:t>
      </w:r>
      <w:r w:rsidR="009C79CE" w:rsidRPr="00025822">
        <w:rPr>
          <w:sz w:val="22"/>
          <w:szCs w:val="22"/>
        </w:rPr>
        <w:t>I</w:t>
      </w:r>
      <w:r w:rsidRPr="00025822">
        <w:rPr>
          <w:sz w:val="22"/>
          <w:szCs w:val="22"/>
        </w:rPr>
        <w:t xml:space="preserve">n </w:t>
      </w:r>
      <w:r w:rsidR="009C19E1" w:rsidRPr="00025822">
        <w:rPr>
          <w:sz w:val="22"/>
          <w:szCs w:val="22"/>
        </w:rPr>
        <w:t xml:space="preserve">SI </w:t>
      </w:r>
      <w:r w:rsidR="00957175" w:rsidRPr="00025822">
        <w:rPr>
          <w:sz w:val="22"/>
          <w:szCs w:val="22"/>
        </w:rPr>
        <w:t>“Study on band combination han</w:t>
      </w:r>
      <w:r w:rsidR="00957175" w:rsidRPr="00025822">
        <w:rPr>
          <w:rFonts w:hint="eastAsia"/>
          <w:sz w:val="22"/>
          <w:szCs w:val="22"/>
        </w:rPr>
        <w:t>d</w:t>
      </w:r>
      <w:r w:rsidR="00957175" w:rsidRPr="00025822">
        <w:rPr>
          <w:sz w:val="22"/>
          <w:szCs w:val="22"/>
        </w:rPr>
        <w:t>ling”</w:t>
      </w:r>
      <w:r w:rsidR="0025722B">
        <w:rPr>
          <w:sz w:val="22"/>
          <w:szCs w:val="22"/>
        </w:rPr>
        <w:t xml:space="preserve"> </w:t>
      </w:r>
      <w:r w:rsidR="0025722B" w:rsidRPr="00025822">
        <w:rPr>
          <w:sz w:val="22"/>
          <w:szCs w:val="22"/>
        </w:rPr>
        <w:t>in RAN4</w:t>
      </w:r>
      <w:r w:rsidR="00957175" w:rsidRPr="00025822">
        <w:rPr>
          <w:sz w:val="22"/>
          <w:szCs w:val="22"/>
        </w:rPr>
        <w:t xml:space="preserve">, the guidelines for BCS4/5 </w:t>
      </w:r>
      <w:r w:rsidR="0058426A">
        <w:rPr>
          <w:sz w:val="22"/>
          <w:szCs w:val="22"/>
        </w:rPr>
        <w:t>are listed as follows in which BCS4/5 was</w:t>
      </w:r>
      <w:r w:rsidR="00957175" w:rsidRPr="00025822">
        <w:rPr>
          <w:sz w:val="22"/>
          <w:szCs w:val="22"/>
        </w:rPr>
        <w:t xml:space="preserve"> extended to </w:t>
      </w:r>
      <w:r w:rsidR="0058426A">
        <w:rPr>
          <w:sz w:val="22"/>
          <w:szCs w:val="22"/>
        </w:rPr>
        <w:t>apply for</w:t>
      </w:r>
      <w:r w:rsidR="00957175" w:rsidRPr="00025822">
        <w:rPr>
          <w:sz w:val="22"/>
          <w:szCs w:val="22"/>
        </w:rPr>
        <w:t xml:space="preserve"> NR</w:t>
      </w:r>
      <w:r w:rsidR="0025722B">
        <w:rPr>
          <w:sz w:val="22"/>
          <w:szCs w:val="22"/>
        </w:rPr>
        <w:t xml:space="preserve"> </w:t>
      </w:r>
      <w:r w:rsidR="00957175" w:rsidRPr="00025822">
        <w:rPr>
          <w:sz w:val="22"/>
          <w:szCs w:val="22"/>
        </w:rPr>
        <w:t>DC.</w:t>
      </w:r>
      <w:r w:rsidR="00944CEC" w:rsidRPr="00025822">
        <w:rPr>
          <w:sz w:val="22"/>
          <w:szCs w:val="22"/>
        </w:rPr>
        <w:t xml:space="preserve"> </w:t>
      </w:r>
    </w:p>
    <w:p w14:paraId="711B4461" w14:textId="77777777" w:rsidR="00957175" w:rsidRDefault="00957175" w:rsidP="00316A20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957175" w14:paraId="0ACE2B9C" w14:textId="77777777" w:rsidTr="00957175">
        <w:tc>
          <w:tcPr>
            <w:tcW w:w="9350" w:type="dxa"/>
          </w:tcPr>
          <w:p w14:paraId="022F904A" w14:textId="77777777" w:rsidR="00957175" w:rsidRDefault="00957175" w:rsidP="00957175">
            <w:pPr>
              <w:pStyle w:val="Heading3"/>
            </w:pPr>
            <w:bookmarkStart w:id="2" w:name="_Toc98485734"/>
            <w:bookmarkStart w:id="3" w:name="_Toc106096710"/>
            <w:r>
              <w:lastRenderedPageBreak/>
              <w:t>5.5.2</w:t>
            </w:r>
            <w:r w:rsidRPr="00F00C5E">
              <w:rPr>
                <w:rFonts w:ascii="Calibri" w:hAnsi="Calibri"/>
                <w:sz w:val="22"/>
                <w:szCs w:val="22"/>
                <w:lang w:eastAsia="sv-SE"/>
              </w:rPr>
              <w:tab/>
            </w:r>
            <w:r>
              <w:t xml:space="preserve">Guidelines </w:t>
            </w:r>
            <w:r>
              <w:rPr>
                <w:rFonts w:hint="eastAsia"/>
              </w:rPr>
              <w:t>f</w:t>
            </w:r>
            <w:r>
              <w:t>or band combination with BCS4/BCS5</w:t>
            </w:r>
            <w:bookmarkEnd w:id="2"/>
            <w:bookmarkEnd w:id="3"/>
          </w:p>
          <w:p w14:paraId="75BF0C6B" w14:textId="77777777" w:rsidR="00957175" w:rsidRPr="00C11D58" w:rsidRDefault="00957175" w:rsidP="00957175">
            <w:pPr>
              <w:rPr>
                <w:rFonts w:eastAsia="SimSun"/>
              </w:rPr>
            </w:pPr>
            <w:r w:rsidRPr="008C09B3">
              <w:rPr>
                <w:rFonts w:eastAsiaTheme="minorEastAsia" w:hint="eastAsia"/>
                <w:sz w:val="20"/>
                <w:szCs w:val="20"/>
                <w:lang w:val="en-GB" w:eastAsia="en-US"/>
              </w:rPr>
              <w:t>T</w:t>
            </w:r>
            <w:r w:rsidRPr="008C09B3">
              <w:rPr>
                <w:rFonts w:eastAsiaTheme="minorEastAsia"/>
                <w:sz w:val="20"/>
                <w:szCs w:val="20"/>
                <w:lang w:val="en-GB" w:eastAsia="en-US"/>
              </w:rPr>
              <w:t>he following are the rules for applying BCS4/BCS5 for band combination request:</w:t>
            </w:r>
          </w:p>
          <w:p w14:paraId="3D4C6527" w14:textId="77777777" w:rsidR="00957175" w:rsidRPr="005F623D" w:rsidRDefault="00957175" w:rsidP="00957175">
            <w:pPr>
              <w:pStyle w:val="B1"/>
            </w:pPr>
            <w:r w:rsidRPr="005F623D">
              <w:t>-</w:t>
            </w:r>
            <w:r>
              <w:tab/>
            </w:r>
            <w:r w:rsidRPr="005F623D">
              <w:t>BCS4</w:t>
            </w:r>
            <w:r>
              <w:t>/</w:t>
            </w:r>
            <w:r w:rsidRPr="005F623D">
              <w:t>BCS5 apply to SUL, NR CA, NR DC and</w:t>
            </w:r>
            <w:r>
              <w:t xml:space="preserve"> SUL and/or NR CA part of inter-</w:t>
            </w:r>
            <w:r w:rsidRPr="005F623D">
              <w:t>band MR-DC while it does not apply to intra</w:t>
            </w:r>
            <w:r>
              <w:t>-</w:t>
            </w:r>
            <w:r w:rsidRPr="005F623D">
              <w:t>band MR DC.</w:t>
            </w:r>
          </w:p>
          <w:p w14:paraId="36D15286" w14:textId="77777777" w:rsidR="00957175" w:rsidRDefault="00957175" w:rsidP="00957175">
            <w:pPr>
              <w:pStyle w:val="B1"/>
            </w:pPr>
            <w:r w:rsidRPr="005F623D">
              <w:t>-</w:t>
            </w:r>
            <w:r w:rsidRPr="005F623D">
              <w:tab/>
              <w:t>BCS4</w:t>
            </w:r>
            <w:r>
              <w:t>/</w:t>
            </w:r>
            <w:r w:rsidRPr="005F623D">
              <w:t xml:space="preserve"> BCS5 shall be requested together, but BCS5 can’t be reported together with BCS4.</w:t>
            </w:r>
          </w:p>
          <w:p w14:paraId="6C29632A" w14:textId="1D44D3DA" w:rsidR="00957175" w:rsidRPr="00944CEC" w:rsidRDefault="00957175" w:rsidP="007C2D3F">
            <w:pPr>
              <w:pStyle w:val="B1"/>
              <w:rPr>
                <w:lang w:val="en-US"/>
              </w:rPr>
            </w:pPr>
            <w:r w:rsidRPr="00487A57">
              <w:t>-</w:t>
            </w:r>
            <w:r w:rsidRPr="00487A57">
              <w:tab/>
            </w:r>
            <w:r w:rsidRPr="005F623D">
              <w:t xml:space="preserve">If needed, traditional BCSs are allowed for all releases. For a new band combination in Rel-17 and onwards, if BCS4/BCS5 are requested, traditional BCSs are allowed pending on </w:t>
            </w:r>
            <w:r w:rsidRPr="005F623D">
              <w:rPr>
                <w:rFonts w:hint="eastAsia"/>
              </w:rPr>
              <w:t>t</w:t>
            </w:r>
            <w:r w:rsidRPr="005F623D">
              <w:t>he proponents, the network</w:t>
            </w:r>
            <w:r>
              <w:t xml:space="preserve"> </w:t>
            </w:r>
            <w:r w:rsidRPr="00322B82">
              <w:t>of the proponents of BCS4/BCS5</w:t>
            </w:r>
            <w:r w:rsidRPr="005F623D">
              <w:t xml:space="preserve"> is demanded to recognize BCS4/BCS5.</w:t>
            </w:r>
          </w:p>
        </w:tc>
      </w:tr>
    </w:tbl>
    <w:p w14:paraId="34B51986" w14:textId="77777777" w:rsidR="00957175" w:rsidRDefault="00957175" w:rsidP="00316A20"/>
    <w:p w14:paraId="516F02C4" w14:textId="31F4F0C1" w:rsidR="00A60FA9" w:rsidRDefault="008C09B3" w:rsidP="00025822">
      <w:pPr>
        <w:jc w:val="both"/>
        <w:rPr>
          <w:sz w:val="22"/>
          <w:szCs w:val="22"/>
        </w:rPr>
      </w:pPr>
      <w:r w:rsidRPr="00025822">
        <w:rPr>
          <w:sz w:val="22"/>
          <w:szCs w:val="22"/>
        </w:rPr>
        <w:t xml:space="preserve">In principle, BCS5 could apply for NR DC. But </w:t>
      </w:r>
      <w:r w:rsidR="000A5D9F" w:rsidRPr="00025822">
        <w:rPr>
          <w:sz w:val="22"/>
          <w:szCs w:val="22"/>
        </w:rPr>
        <w:t xml:space="preserve">for NR DC, the aggregated BW </w:t>
      </w:r>
      <w:r w:rsidR="00353CE7">
        <w:rPr>
          <w:sz w:val="22"/>
          <w:szCs w:val="22"/>
        </w:rPr>
        <w:t xml:space="preserve">capability </w:t>
      </w:r>
      <w:r w:rsidR="00553C28" w:rsidRPr="00025822">
        <w:rPr>
          <w:sz w:val="22"/>
          <w:szCs w:val="22"/>
        </w:rPr>
        <w:t>will span across MCG and SCG</w:t>
      </w:r>
      <w:r w:rsidR="004452EB" w:rsidRPr="00025822">
        <w:rPr>
          <w:sz w:val="22"/>
          <w:szCs w:val="22"/>
        </w:rPr>
        <w:t>, e.g., split</w:t>
      </w:r>
      <w:r w:rsidR="00155069">
        <w:rPr>
          <w:sz w:val="22"/>
          <w:szCs w:val="22"/>
        </w:rPr>
        <w:t xml:space="preserve">ting </w:t>
      </w:r>
      <w:r w:rsidR="004452EB" w:rsidRPr="00025822">
        <w:rPr>
          <w:sz w:val="22"/>
          <w:szCs w:val="22"/>
        </w:rPr>
        <w:t>UE capability between MCG and SCG</w:t>
      </w:r>
      <w:r w:rsidR="00155069">
        <w:rPr>
          <w:sz w:val="22"/>
          <w:szCs w:val="22"/>
        </w:rPr>
        <w:t xml:space="preserve"> that </w:t>
      </w:r>
      <w:r w:rsidR="00F860FC" w:rsidRPr="00025822">
        <w:rPr>
          <w:sz w:val="22"/>
          <w:szCs w:val="22"/>
        </w:rPr>
        <w:t xml:space="preserve">requests </w:t>
      </w:r>
      <w:r w:rsidR="004452EB" w:rsidRPr="00025822">
        <w:rPr>
          <w:sz w:val="22"/>
          <w:szCs w:val="22"/>
        </w:rPr>
        <w:t xml:space="preserve">complicated </w:t>
      </w:r>
      <w:r w:rsidR="00F860FC" w:rsidRPr="00025822">
        <w:rPr>
          <w:sz w:val="22"/>
          <w:szCs w:val="22"/>
        </w:rPr>
        <w:t xml:space="preserve">standardization </w:t>
      </w:r>
      <w:r w:rsidR="00D361FA">
        <w:rPr>
          <w:sz w:val="22"/>
          <w:szCs w:val="22"/>
        </w:rPr>
        <w:t xml:space="preserve">work </w:t>
      </w:r>
      <w:r w:rsidR="00F860FC" w:rsidRPr="00025822">
        <w:rPr>
          <w:sz w:val="22"/>
          <w:szCs w:val="22"/>
        </w:rPr>
        <w:t xml:space="preserve">of inter-node coordination </w:t>
      </w:r>
      <w:proofErr w:type="spellStart"/>
      <w:r w:rsidR="00F860FC" w:rsidRPr="00025822">
        <w:rPr>
          <w:sz w:val="22"/>
          <w:szCs w:val="22"/>
        </w:rPr>
        <w:t>signalling</w:t>
      </w:r>
      <w:proofErr w:type="spellEnd"/>
      <w:r w:rsidR="00F601E0" w:rsidRPr="00025822">
        <w:rPr>
          <w:sz w:val="22"/>
          <w:szCs w:val="22"/>
        </w:rPr>
        <w:t xml:space="preserve">. </w:t>
      </w:r>
      <w:r w:rsidR="0079743E">
        <w:rPr>
          <w:sz w:val="22"/>
          <w:szCs w:val="22"/>
        </w:rPr>
        <w:t>Since</w:t>
      </w:r>
      <w:r w:rsidR="00F601E0" w:rsidRPr="00025822">
        <w:rPr>
          <w:sz w:val="22"/>
          <w:szCs w:val="22"/>
        </w:rPr>
        <w:t xml:space="preserve"> </w:t>
      </w:r>
      <w:r w:rsidR="002B3C79">
        <w:rPr>
          <w:sz w:val="22"/>
          <w:szCs w:val="22"/>
        </w:rPr>
        <w:t xml:space="preserve">the IE of aggregated BW </w:t>
      </w:r>
      <w:r w:rsidR="00E27C5B">
        <w:rPr>
          <w:sz w:val="22"/>
          <w:szCs w:val="22"/>
        </w:rPr>
        <w:t>targets to be specified in Rel-17</w:t>
      </w:r>
      <w:r w:rsidR="00FD185F">
        <w:rPr>
          <w:sz w:val="22"/>
          <w:szCs w:val="22"/>
        </w:rPr>
        <w:t xml:space="preserve"> with tight time</w:t>
      </w:r>
      <w:r w:rsidR="005F29C0">
        <w:rPr>
          <w:sz w:val="22"/>
          <w:szCs w:val="22"/>
        </w:rPr>
        <w:t>line</w:t>
      </w:r>
      <w:r w:rsidR="00E27C5B">
        <w:rPr>
          <w:sz w:val="22"/>
          <w:szCs w:val="22"/>
        </w:rPr>
        <w:t xml:space="preserve">, we propose not to consider </w:t>
      </w:r>
      <w:r w:rsidR="00E03403">
        <w:rPr>
          <w:sz w:val="22"/>
          <w:szCs w:val="22"/>
        </w:rPr>
        <w:t xml:space="preserve">applying the </w:t>
      </w:r>
      <w:r w:rsidR="005F29C0">
        <w:rPr>
          <w:sz w:val="22"/>
          <w:szCs w:val="22"/>
        </w:rPr>
        <w:t xml:space="preserve">max </w:t>
      </w:r>
      <w:r w:rsidR="00E03403">
        <w:rPr>
          <w:sz w:val="22"/>
          <w:szCs w:val="22"/>
        </w:rPr>
        <w:t xml:space="preserve">aggregated BW capability </w:t>
      </w:r>
      <w:r w:rsidR="00A60FA9">
        <w:rPr>
          <w:sz w:val="22"/>
          <w:szCs w:val="22"/>
        </w:rPr>
        <w:t>for NR DC cases.</w:t>
      </w:r>
    </w:p>
    <w:p w14:paraId="1FEE0523" w14:textId="77777777" w:rsidR="00A60FA9" w:rsidRDefault="00A60FA9" w:rsidP="00025822">
      <w:pPr>
        <w:jc w:val="both"/>
        <w:rPr>
          <w:sz w:val="22"/>
          <w:szCs w:val="22"/>
        </w:rPr>
      </w:pPr>
    </w:p>
    <w:p w14:paraId="1C593C42" w14:textId="29B308D2" w:rsidR="00596C4B" w:rsidRPr="00A60FA9" w:rsidRDefault="00A60FA9" w:rsidP="00025822">
      <w:pPr>
        <w:jc w:val="both"/>
        <w:rPr>
          <w:b/>
          <w:bCs/>
          <w:sz w:val="22"/>
          <w:szCs w:val="22"/>
        </w:rPr>
      </w:pPr>
      <w:r w:rsidRPr="00A60FA9">
        <w:rPr>
          <w:b/>
          <w:bCs/>
          <w:sz w:val="22"/>
          <w:szCs w:val="22"/>
        </w:rPr>
        <w:t>Proposal 1: RAN4 suggests not to apply the</w:t>
      </w:r>
      <w:r w:rsidR="00046FF9">
        <w:rPr>
          <w:b/>
          <w:bCs/>
          <w:sz w:val="22"/>
          <w:szCs w:val="22"/>
        </w:rPr>
        <w:t xml:space="preserve"> max</w:t>
      </w:r>
      <w:r w:rsidRPr="00A60FA9">
        <w:rPr>
          <w:b/>
          <w:bCs/>
          <w:sz w:val="22"/>
          <w:szCs w:val="22"/>
        </w:rPr>
        <w:t xml:space="preserve"> aggregated BW capability</w:t>
      </w:r>
      <w:r w:rsidR="00046FF9">
        <w:rPr>
          <w:b/>
          <w:bCs/>
          <w:sz w:val="22"/>
          <w:szCs w:val="22"/>
        </w:rPr>
        <w:t>/IEs</w:t>
      </w:r>
      <w:r w:rsidRPr="00A60FA9">
        <w:rPr>
          <w:b/>
          <w:bCs/>
          <w:sz w:val="22"/>
          <w:szCs w:val="22"/>
        </w:rPr>
        <w:t xml:space="preserve"> for NR DC cases.</w:t>
      </w:r>
      <w:r w:rsidR="00F860FC" w:rsidRPr="00A60FA9">
        <w:rPr>
          <w:b/>
          <w:bCs/>
          <w:sz w:val="22"/>
          <w:szCs w:val="22"/>
        </w:rPr>
        <w:t xml:space="preserve"> </w:t>
      </w:r>
    </w:p>
    <w:p w14:paraId="38CD94A0" w14:textId="77777777" w:rsidR="00596C4B" w:rsidRPr="00596C4B" w:rsidRDefault="00596C4B" w:rsidP="00316A20">
      <w:pPr>
        <w:rPr>
          <w:lang w:val="en-GB"/>
        </w:rPr>
      </w:pPr>
    </w:p>
    <w:p w14:paraId="7A06CBA2" w14:textId="4625EFC2" w:rsidR="00854C5E" w:rsidRDefault="00854C5E" w:rsidP="00854C5E">
      <w:pPr>
        <w:pStyle w:val="Heading2"/>
        <w:tabs>
          <w:tab w:val="left" w:pos="5260"/>
        </w:tabs>
        <w:spacing w:after="240"/>
        <w:rPr>
          <w:rFonts w:ascii="Arial" w:hAnsi="Arial" w:cs="Arial"/>
          <w:color w:val="auto"/>
          <w:sz w:val="32"/>
          <w:szCs w:val="32"/>
        </w:rPr>
      </w:pPr>
      <w:r w:rsidRPr="0004132B">
        <w:rPr>
          <w:rFonts w:ascii="Arial" w:hAnsi="Arial" w:cs="Arial"/>
          <w:color w:val="auto"/>
          <w:sz w:val="32"/>
          <w:szCs w:val="32"/>
        </w:rPr>
        <w:t>2.</w:t>
      </w:r>
      <w:r>
        <w:rPr>
          <w:rFonts w:ascii="Arial" w:hAnsi="Arial" w:cs="Arial"/>
          <w:color w:val="auto"/>
          <w:sz w:val="32"/>
          <w:szCs w:val="32"/>
        </w:rPr>
        <w:t>3</w:t>
      </w:r>
      <w:r w:rsidRPr="0004132B">
        <w:rPr>
          <w:rFonts w:ascii="Arial" w:hAnsi="Arial" w:cs="Arial"/>
          <w:color w:val="auto"/>
          <w:sz w:val="32"/>
          <w:szCs w:val="32"/>
        </w:rPr>
        <w:t xml:space="preserve"> </w:t>
      </w:r>
      <w:r w:rsidR="002F71C8">
        <w:rPr>
          <w:rFonts w:ascii="Arial" w:hAnsi="Arial" w:cs="Arial"/>
          <w:color w:val="auto"/>
          <w:sz w:val="32"/>
          <w:szCs w:val="32"/>
        </w:rPr>
        <w:t>C</w:t>
      </w:r>
      <w:r w:rsidR="002F71C8" w:rsidRPr="002F71C8">
        <w:rPr>
          <w:rFonts w:ascii="Arial" w:hAnsi="Arial" w:cs="Arial"/>
          <w:color w:val="auto"/>
          <w:sz w:val="32"/>
          <w:szCs w:val="32"/>
        </w:rPr>
        <w:t>onversion ratio</w:t>
      </w:r>
      <w:r w:rsidR="00176F0A">
        <w:rPr>
          <w:rFonts w:ascii="Arial" w:hAnsi="Arial" w:cs="Arial"/>
          <w:color w:val="auto"/>
          <w:sz w:val="32"/>
          <w:szCs w:val="32"/>
        </w:rPr>
        <w:t xml:space="preserve"> for TDD and FDD BW</w:t>
      </w:r>
    </w:p>
    <w:p w14:paraId="199ED944" w14:textId="2DE2E558" w:rsidR="0022448D" w:rsidRDefault="0022448D" w:rsidP="0022448D">
      <w:pPr>
        <w:spacing w:after="120"/>
      </w:pPr>
      <w:r>
        <w:t>As agreed in RAN2, the following IE are defined for aggregated BW</w:t>
      </w:r>
      <w:r w:rsidR="00947C41">
        <w:t>:</w:t>
      </w:r>
    </w:p>
    <w:p w14:paraId="500FA1A3" w14:textId="15776322" w:rsidR="0022448D" w:rsidRPr="00947C41" w:rsidRDefault="0022448D" w:rsidP="0022448D">
      <w:pPr>
        <w:pStyle w:val="ListParagraph"/>
        <w:numPr>
          <w:ilvl w:val="0"/>
          <w:numId w:val="5"/>
        </w:numPr>
        <w:spacing w:after="120"/>
        <w:rPr>
          <w:rFonts w:ascii="Times New Roman" w:hAnsi="Times New Roman" w:cs="Times New Roman"/>
        </w:rPr>
      </w:pPr>
      <w:r w:rsidRPr="00947C41">
        <w:rPr>
          <w:rFonts w:ascii="Times New Roman" w:hAnsi="Times New Roman" w:cs="Times New Roman"/>
        </w:rPr>
        <w:t xml:space="preserve">Total </w:t>
      </w:r>
      <w:r w:rsidR="00046FF9">
        <w:rPr>
          <w:rFonts w:ascii="Times New Roman" w:hAnsi="Times New Roman" w:cs="Times New Roman"/>
        </w:rPr>
        <w:t xml:space="preserve">max </w:t>
      </w:r>
      <w:r w:rsidRPr="00947C41">
        <w:rPr>
          <w:rFonts w:ascii="Times New Roman" w:hAnsi="Times New Roman" w:cs="Times New Roman"/>
        </w:rPr>
        <w:t>aggregated BW</w:t>
      </w:r>
    </w:p>
    <w:p w14:paraId="1A2879B2" w14:textId="2F4FEDEF" w:rsidR="0022448D" w:rsidRPr="00947C41" w:rsidRDefault="00046FF9" w:rsidP="0022448D">
      <w:pPr>
        <w:pStyle w:val="ListParagraph"/>
        <w:numPr>
          <w:ilvl w:val="0"/>
          <w:numId w:val="5"/>
        </w:numPr>
        <w:spacing w:after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Max a</w:t>
      </w:r>
      <w:r w:rsidR="00905434" w:rsidRPr="00947C41">
        <w:rPr>
          <w:rFonts w:ascii="Times New Roman" w:hAnsi="Times New Roman" w:cs="Times New Roman"/>
        </w:rPr>
        <w:t>ggregated BW</w:t>
      </w:r>
      <w:r w:rsidR="00947C41">
        <w:rPr>
          <w:rFonts w:ascii="Times New Roman" w:hAnsi="Times New Roman" w:cs="Times New Roman"/>
        </w:rPr>
        <w:t xml:space="preserve"> for FDD bands</w:t>
      </w:r>
    </w:p>
    <w:p w14:paraId="7412305A" w14:textId="663B0E55" w:rsidR="00905434" w:rsidRPr="00947C41" w:rsidRDefault="00046FF9" w:rsidP="00905434">
      <w:pPr>
        <w:pStyle w:val="ListParagraph"/>
        <w:numPr>
          <w:ilvl w:val="0"/>
          <w:numId w:val="5"/>
        </w:numPr>
        <w:spacing w:after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Max a</w:t>
      </w:r>
      <w:r w:rsidR="00905434" w:rsidRPr="00947C41">
        <w:rPr>
          <w:rFonts w:ascii="Times New Roman" w:hAnsi="Times New Roman" w:cs="Times New Roman"/>
        </w:rPr>
        <w:t>ggregated BW</w:t>
      </w:r>
      <w:r w:rsidR="00947C41">
        <w:rPr>
          <w:rFonts w:ascii="Times New Roman" w:hAnsi="Times New Roman" w:cs="Times New Roman"/>
        </w:rPr>
        <w:t xml:space="preserve"> for TDD </w:t>
      </w:r>
      <w:r w:rsidR="00947C41">
        <w:rPr>
          <w:rFonts w:ascii="Times New Roman" w:hAnsi="Times New Roman" w:cs="Times New Roman" w:hint="eastAsia"/>
        </w:rPr>
        <w:t>bands</w:t>
      </w:r>
    </w:p>
    <w:p w14:paraId="73781BE5" w14:textId="29890F33" w:rsidR="008B3D90" w:rsidRDefault="00947C41" w:rsidP="008B3D90">
      <w:pPr>
        <w:spacing w:after="120"/>
      </w:pPr>
      <w:r>
        <w:t xml:space="preserve">The question from RAN2 is whether to include the </w:t>
      </w:r>
      <w:r w:rsidR="005B0111">
        <w:t>conversion ratio, e.g.,</w:t>
      </w:r>
      <w:r w:rsidR="00456346">
        <w:t xml:space="preserve"> 1:2 for TDD </w:t>
      </w:r>
      <w:r w:rsidR="00046FF9">
        <w:t xml:space="preserve">BW </w:t>
      </w:r>
      <w:r w:rsidR="00456346">
        <w:t xml:space="preserve">and FDD BW in the </w:t>
      </w:r>
      <w:r w:rsidR="00046FF9">
        <w:t xml:space="preserve">total max aggregated BW </w:t>
      </w:r>
      <w:proofErr w:type="spellStart"/>
      <w:r w:rsidR="00456346">
        <w:t>signalling</w:t>
      </w:r>
      <w:proofErr w:type="spellEnd"/>
      <w:r w:rsidR="00456346">
        <w:t>.</w:t>
      </w:r>
    </w:p>
    <w:p w14:paraId="79FDB8AD" w14:textId="2F317BA5" w:rsidR="00976BF8" w:rsidRPr="008B3D90" w:rsidRDefault="00456346" w:rsidP="00DD69F3">
      <w:pPr>
        <w:spacing w:after="120"/>
        <w:jc w:val="both"/>
      </w:pPr>
      <w:r>
        <w:t>Firstly, t</w:t>
      </w:r>
      <w:r w:rsidR="005B4D59">
        <w:t xml:space="preserve">he logic </w:t>
      </w:r>
      <w:r w:rsidR="005E32D0">
        <w:t>of</w:t>
      </w:r>
      <w:r w:rsidR="005B4D59">
        <w:t xml:space="preserve"> </w:t>
      </w:r>
      <w:r w:rsidR="00454D52">
        <w:t xml:space="preserve">conversion </w:t>
      </w:r>
      <w:r w:rsidR="00F74DE0">
        <w:t xml:space="preserve">ratio </w:t>
      </w:r>
      <w:r w:rsidR="00DD69F3">
        <w:t>of</w:t>
      </w:r>
      <w:r w:rsidR="00B20B4F">
        <w:t xml:space="preserve"> TDD </w:t>
      </w:r>
      <w:r w:rsidR="008659F0">
        <w:t>to</w:t>
      </w:r>
      <w:r w:rsidR="00B20B4F">
        <w:t xml:space="preserve"> FDD </w:t>
      </w:r>
      <w:r w:rsidR="00454D52">
        <w:t>is</w:t>
      </w:r>
      <w:r w:rsidR="008659F0">
        <w:t xml:space="preserve"> that</w:t>
      </w:r>
      <w:r w:rsidR="00454D52">
        <w:t xml:space="preserve"> </w:t>
      </w:r>
      <w:r w:rsidR="00F74DE0">
        <w:t>for the same BW, the</w:t>
      </w:r>
      <w:r w:rsidR="008E2F76">
        <w:t xml:space="preserve"> </w:t>
      </w:r>
      <w:r w:rsidR="002755E1">
        <w:t>RBs</w:t>
      </w:r>
      <w:r w:rsidR="005E32D0">
        <w:t xml:space="preserve"> of </w:t>
      </w:r>
      <w:r w:rsidR="00186996">
        <w:t xml:space="preserve">FDD </w:t>
      </w:r>
      <w:r w:rsidR="006373AA">
        <w:t>with 15</w:t>
      </w:r>
      <w:r w:rsidR="0075643C">
        <w:t>K</w:t>
      </w:r>
      <w:r w:rsidR="006373AA">
        <w:t xml:space="preserve">Hz SCS </w:t>
      </w:r>
      <w:r w:rsidR="005E32D0">
        <w:t>is</w:t>
      </w:r>
      <w:r w:rsidR="008E2F76">
        <w:t xml:space="preserve"> </w:t>
      </w:r>
      <w:r w:rsidR="00186996">
        <w:t xml:space="preserve">about </w:t>
      </w:r>
      <w:r w:rsidR="008E2F76">
        <w:t>twice</w:t>
      </w:r>
      <w:r w:rsidR="00186996">
        <w:t xml:space="preserve"> compared to </w:t>
      </w:r>
      <w:r w:rsidR="006373AA">
        <w:t>TDD with 30kHz</w:t>
      </w:r>
      <w:r w:rsidR="00976BF8">
        <w:t xml:space="preserve">, i.e., </w:t>
      </w:r>
      <w:r w:rsidR="00976BF8" w:rsidRPr="005B4D59">
        <w:t>BW of CC @</w:t>
      </w:r>
      <w:r w:rsidR="00E55622">
        <w:t>30</w:t>
      </w:r>
      <w:r w:rsidR="00976BF8" w:rsidRPr="005B4D59">
        <w:t xml:space="preserve">KHz SCS </w:t>
      </w:r>
      <w:r w:rsidR="00AF1173">
        <w:t>:</w:t>
      </w:r>
      <w:r w:rsidR="00976BF8" w:rsidRPr="005B4D59">
        <w:t xml:space="preserve"> </w:t>
      </w:r>
      <w:r w:rsidR="00E2786D" w:rsidRPr="005B4D59">
        <w:t>BW of CC</w:t>
      </w:r>
      <w:r w:rsidR="00AF1173" w:rsidRPr="005B4D59">
        <w:t>@</w:t>
      </w:r>
      <w:r w:rsidR="00AF1173">
        <w:t>15</w:t>
      </w:r>
      <w:r w:rsidR="00AF1173" w:rsidRPr="005B4D59">
        <w:t xml:space="preserve">KHz SCS </w:t>
      </w:r>
      <w:r w:rsidR="00AF1173">
        <w:t xml:space="preserve"> = 1:2</w:t>
      </w:r>
      <w:r w:rsidR="00976BF8" w:rsidRPr="005B4D59">
        <w:t>.</w:t>
      </w:r>
      <w:r w:rsidR="000D39B0">
        <w:t xml:space="preserve"> </w:t>
      </w:r>
      <w:r w:rsidR="0058332F">
        <w:t xml:space="preserve">Therefore, the </w:t>
      </w:r>
      <w:r w:rsidR="00052A6F">
        <w:t>SCS of CC is one of factors affect</w:t>
      </w:r>
      <w:r w:rsidR="00B12DA4">
        <w:t>ing</w:t>
      </w:r>
      <w:r w:rsidR="00052A6F">
        <w:t xml:space="preserve"> the UE aggregated BW capability</w:t>
      </w:r>
      <w:r w:rsidR="00565450">
        <w:t xml:space="preserve"> </w:t>
      </w:r>
      <w:r w:rsidR="00841FAC">
        <w:t xml:space="preserve">which is related to </w:t>
      </w:r>
      <w:r w:rsidR="00E0611E">
        <w:t>UE baseband capability</w:t>
      </w:r>
      <w:r w:rsidR="00052A6F">
        <w:t xml:space="preserve">. </w:t>
      </w:r>
      <w:r w:rsidR="00052654">
        <w:rPr>
          <w:rFonts w:eastAsiaTheme="minorEastAsia"/>
        </w:rPr>
        <w:t>The common way to cover</w:t>
      </w:r>
      <w:r w:rsidR="00CA3C9E">
        <w:rPr>
          <w:rFonts w:eastAsiaTheme="minorEastAsia"/>
        </w:rPr>
        <w:t>t BW to a CC with different SCS is following:</w:t>
      </w:r>
    </w:p>
    <w:p w14:paraId="24025C77" w14:textId="266D0DE1" w:rsidR="00F74DE0" w:rsidRDefault="004521BA" w:rsidP="008B3D90">
      <w:pPr>
        <w:spacing w:after="120"/>
        <w:jc w:val="center"/>
      </w:pPr>
      <w:r>
        <w:t xml:space="preserve">BW of </w:t>
      </w:r>
      <w:r w:rsidR="00CA3C9E" w:rsidRPr="005B4D59">
        <w:t>CC @</w:t>
      </w:r>
      <w:r w:rsidR="009C48DF">
        <w:t>2</w:t>
      </w:r>
      <w:r w:rsidR="00D87D1F" w:rsidRPr="00D87D1F">
        <w:rPr>
          <w:vertAlign w:val="superscript"/>
        </w:rPr>
        <w:t xml:space="preserve"> </w:t>
      </w:r>
      <w:r w:rsidR="00D87D1F">
        <w:rPr>
          <w:vertAlign w:val="superscript"/>
        </w:rPr>
        <w:t>µ</w:t>
      </w:r>
      <w:r>
        <w:rPr>
          <w:vertAlign w:val="superscript"/>
        </w:rPr>
        <w:t xml:space="preserve"> </w:t>
      </w:r>
      <w:r w:rsidR="0075643C">
        <w:t>*15</w:t>
      </w:r>
      <w:r w:rsidR="00CA3C9E" w:rsidRPr="005B4D59">
        <w:t xml:space="preserve">KHz SCS </w:t>
      </w:r>
      <w:r w:rsidR="00E2786D">
        <w:t>:</w:t>
      </w:r>
      <w:r w:rsidR="00CA3C9E" w:rsidRPr="005B4D59">
        <w:t xml:space="preserve"> BW of CC@15KHz SCS</w:t>
      </w:r>
      <w:r w:rsidR="00E2786D">
        <w:t xml:space="preserve"> =  1 : 2</w:t>
      </w:r>
      <w:r w:rsidR="00E2786D" w:rsidRPr="00D87D1F">
        <w:rPr>
          <w:vertAlign w:val="superscript"/>
        </w:rPr>
        <w:t xml:space="preserve"> </w:t>
      </w:r>
      <w:r w:rsidR="00E2786D">
        <w:rPr>
          <w:vertAlign w:val="superscript"/>
        </w:rPr>
        <w:t>µ</w:t>
      </w:r>
      <w:r w:rsidR="00D87D1F">
        <w:t>, {</w:t>
      </w:r>
      <w:r w:rsidR="00D87D1F" w:rsidRPr="00D87D1F">
        <w:t>µ</w:t>
      </w:r>
      <w:r w:rsidR="00D87D1F">
        <w:t xml:space="preserve"> = 0, 1, 2</w:t>
      </w:r>
      <w:r w:rsidR="009349F1">
        <w:t>}</w:t>
      </w:r>
    </w:p>
    <w:p w14:paraId="2FE45E23" w14:textId="25C2F707" w:rsidR="00905D1F" w:rsidRDefault="00DE1D0C" w:rsidP="002136F4">
      <w:pPr>
        <w:spacing w:after="120"/>
        <w:jc w:val="both"/>
      </w:pPr>
      <w:r>
        <w:t xml:space="preserve">While as </w:t>
      </w:r>
      <w:r w:rsidR="005B1F80">
        <w:t xml:space="preserve">in practice, there is no 15KHz </w:t>
      </w:r>
      <w:r w:rsidR="009A799E">
        <w:t xml:space="preserve">SCS </w:t>
      </w:r>
      <w:r w:rsidR="005B1F80">
        <w:t xml:space="preserve">and 60KHz </w:t>
      </w:r>
      <w:r w:rsidR="009A799E">
        <w:t xml:space="preserve">SCS </w:t>
      </w:r>
      <w:r w:rsidR="005B1F80">
        <w:t xml:space="preserve">for TDD bands, </w:t>
      </w:r>
      <w:r w:rsidR="005C7CDF">
        <w:t xml:space="preserve">therefore the </w:t>
      </w:r>
      <w:r w:rsidR="0009768D">
        <w:t xml:space="preserve">conversion ratio </w:t>
      </w:r>
      <w:r w:rsidR="00E0611E">
        <w:t>of</w:t>
      </w:r>
      <w:r w:rsidR="00496CA4">
        <w:t xml:space="preserve"> TDD </w:t>
      </w:r>
      <w:r w:rsidR="00E0611E">
        <w:t>BW to</w:t>
      </w:r>
      <w:r w:rsidR="00496CA4">
        <w:t xml:space="preserve"> FDD </w:t>
      </w:r>
      <w:r w:rsidR="00E0611E">
        <w:t xml:space="preserve">BW </w:t>
      </w:r>
      <w:r w:rsidR="009A799E">
        <w:t>could be simplified as</w:t>
      </w:r>
      <w:r w:rsidR="00496CA4">
        <w:t xml:space="preserve"> </w:t>
      </w:r>
      <w:r w:rsidR="002136F4">
        <w:t>1:2</w:t>
      </w:r>
      <w:r w:rsidR="000F21E4">
        <w:t>.</w:t>
      </w:r>
    </w:p>
    <w:p w14:paraId="651A0485" w14:textId="23BEEC0D" w:rsidR="00456346" w:rsidRDefault="00F32B99" w:rsidP="00DA575E">
      <w:pPr>
        <w:spacing w:after="120"/>
        <w:jc w:val="both"/>
      </w:pPr>
      <w:r>
        <w:t xml:space="preserve">To analyze the </w:t>
      </w:r>
      <w:r w:rsidR="008F2774">
        <w:t>necessity</w:t>
      </w:r>
      <w:r>
        <w:t xml:space="preserve"> </w:t>
      </w:r>
      <w:r w:rsidR="00530506">
        <w:t xml:space="preserve">of including conversion ratio, </w:t>
      </w:r>
      <w:r w:rsidR="00262DC5">
        <w:t xml:space="preserve">we give an example </w:t>
      </w:r>
      <w:r w:rsidR="008C72FB">
        <w:t xml:space="preserve">as </w:t>
      </w:r>
      <w:r w:rsidR="00DA575E">
        <w:t>follows</w:t>
      </w:r>
      <w:r w:rsidR="00093D3D">
        <w:t>. The UE signals the supported total aggregated BW = 150MHz, FDD maximum BW = 50Mhz and TDD maximum BW = 100MHz</w:t>
      </w:r>
      <w:r w:rsidR="00C0719C">
        <w:t xml:space="preserve">. </w:t>
      </w:r>
      <w:r w:rsidR="00826115">
        <w:t xml:space="preserve">15KHz SCS and 30KHz SCS are assumed for FDD and TDD </w:t>
      </w:r>
      <w:r w:rsidR="00AB4613">
        <w:t>respectively.</w:t>
      </w:r>
    </w:p>
    <w:p w14:paraId="44D9A7A1" w14:textId="5D05D6F3" w:rsidR="002D6B0D" w:rsidRDefault="00EF1A50" w:rsidP="0098593B">
      <w:pPr>
        <w:spacing w:after="120"/>
        <w:jc w:val="both"/>
      </w:pPr>
      <w:r>
        <w:t xml:space="preserve">As shown in </w:t>
      </w:r>
      <w:r w:rsidRPr="00EF1A50">
        <w:t xml:space="preserve">Figure 2.3-1, </w:t>
      </w:r>
      <w:r w:rsidR="00A3532B">
        <w:t xml:space="preserve">if </w:t>
      </w:r>
      <w:r w:rsidR="009970BE">
        <w:t xml:space="preserve">the conversion ratio of TDD </w:t>
      </w:r>
      <w:r w:rsidR="00DA575E">
        <w:t>to</w:t>
      </w:r>
      <w:r w:rsidR="009970BE">
        <w:t xml:space="preserve"> FDD</w:t>
      </w:r>
      <w:r w:rsidR="008E6570">
        <w:t xml:space="preserve">, i.e., 1:2, </w:t>
      </w:r>
      <w:r w:rsidR="00A3532B">
        <w:t xml:space="preserve">is </w:t>
      </w:r>
      <w:proofErr w:type="spellStart"/>
      <w:r w:rsidR="00A3532B">
        <w:t>signalled</w:t>
      </w:r>
      <w:proofErr w:type="spellEnd"/>
      <w:r w:rsidR="00A3532B">
        <w:t xml:space="preserve"> </w:t>
      </w:r>
      <w:r w:rsidR="002C767D">
        <w:t xml:space="preserve">along </w:t>
      </w:r>
      <w:r w:rsidR="00A3532B">
        <w:t>with aggregated BW IEs</w:t>
      </w:r>
      <w:r w:rsidR="009970BE">
        <w:t xml:space="preserve">, </w:t>
      </w:r>
      <w:r w:rsidR="00A3532B">
        <w:t xml:space="preserve">the </w:t>
      </w:r>
      <w:r w:rsidR="00AB40F4">
        <w:t xml:space="preserve">supported </w:t>
      </w:r>
      <w:r w:rsidR="0018394A">
        <w:t xml:space="preserve">BWs </w:t>
      </w:r>
      <w:r w:rsidR="00AB40F4">
        <w:t xml:space="preserve">by UE </w:t>
      </w:r>
      <w:r w:rsidR="005D5B26">
        <w:t>are</w:t>
      </w:r>
      <w:r w:rsidR="00AB40F4">
        <w:t xml:space="preserve"> the green areas</w:t>
      </w:r>
      <w:r w:rsidR="005D5B26">
        <w:t xml:space="preserve">. </w:t>
      </w:r>
    </w:p>
    <w:p w14:paraId="3AE8ED57" w14:textId="3F9F5EA2" w:rsidR="00456346" w:rsidRDefault="002D6B0D" w:rsidP="0098593B">
      <w:pPr>
        <w:spacing w:after="120"/>
        <w:jc w:val="both"/>
      </w:pPr>
      <w:r>
        <w:lastRenderedPageBreak/>
        <w:t xml:space="preserve">But </w:t>
      </w:r>
      <w:r w:rsidR="00F9713A">
        <w:t xml:space="preserve">if the </w:t>
      </w:r>
      <w:r w:rsidR="00796DD5">
        <w:t>effective t</w:t>
      </w:r>
      <w:r w:rsidR="00E70083" w:rsidRPr="00E70083">
        <w:t xml:space="preserve">otal aggregated BW </w:t>
      </w:r>
      <w:r w:rsidR="00E70083">
        <w:t>is</w:t>
      </w:r>
      <w:r w:rsidR="00796DD5">
        <w:t xml:space="preserve"> calculated as</w:t>
      </w:r>
      <w:r>
        <w:t xml:space="preserve"> </w:t>
      </w:r>
      <w:r w:rsidRPr="002D6B0D">
        <w:t>Total aggregated BW</w:t>
      </w:r>
      <w:r w:rsidR="00E70083">
        <w:t xml:space="preserve"> </w:t>
      </w:r>
      <w:r w:rsidR="00E70083" w:rsidRPr="00E70083">
        <w:t>= FDD BW + TDD BW</w:t>
      </w:r>
      <w:r w:rsidR="008601E9">
        <w:t>, i.e., no conversion ratio</w:t>
      </w:r>
      <w:r>
        <w:t xml:space="preserve">, then the </w:t>
      </w:r>
      <w:r w:rsidR="00F450DA">
        <w:t xml:space="preserve">red areas which are not supported by UE </w:t>
      </w:r>
      <w:r w:rsidR="00734AFF">
        <w:t>will be</w:t>
      </w:r>
      <w:r w:rsidR="00DA088F">
        <w:t xml:space="preserve"> wrongly </w:t>
      </w:r>
      <w:r w:rsidR="00734AFF">
        <w:t xml:space="preserve">reported </w:t>
      </w:r>
      <w:r w:rsidR="0005777D">
        <w:t>to network.</w:t>
      </w:r>
    </w:p>
    <w:p w14:paraId="1F3FFC7F" w14:textId="09EE4601" w:rsidR="0022448D" w:rsidRDefault="00052A6F" w:rsidP="00673EF2">
      <w:pPr>
        <w:jc w:val="center"/>
      </w:pPr>
      <w:r>
        <w:object w:dxaOrig="10440" w:dyaOrig="4611" w14:anchorId="5F25309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6.45pt;height:148.6pt" o:ole="">
            <v:imagedata r:id="rId7" o:title=""/>
          </v:shape>
          <o:OLEObject Type="Embed" ProgID="Visio.Drawing.15" ShapeID="_x0000_i1025" DrawAspect="Content" ObjectID="_1760574068" r:id="rId8"/>
        </w:object>
      </w:r>
    </w:p>
    <w:p w14:paraId="4BE74CED" w14:textId="53FD0EFD" w:rsidR="00673EF2" w:rsidRPr="00673EF2" w:rsidRDefault="00673EF2" w:rsidP="00673EF2">
      <w:pPr>
        <w:jc w:val="center"/>
        <w:rPr>
          <w:sz w:val="20"/>
          <w:szCs w:val="20"/>
        </w:rPr>
      </w:pPr>
      <w:r w:rsidRPr="00673EF2">
        <w:rPr>
          <w:sz w:val="20"/>
          <w:szCs w:val="20"/>
        </w:rPr>
        <w:t>Figure 2.3-1: Example of aggregated BW</w:t>
      </w:r>
    </w:p>
    <w:p w14:paraId="756BC598" w14:textId="77777777" w:rsidR="00905D1F" w:rsidRDefault="00905D1F" w:rsidP="00905D1F"/>
    <w:p w14:paraId="455D6FAA" w14:textId="64EEA492" w:rsidR="0042371C" w:rsidRPr="0042371C" w:rsidRDefault="0005777D" w:rsidP="008601E9">
      <w:pPr>
        <w:jc w:val="both"/>
        <w:rPr>
          <w:b/>
          <w:bCs/>
        </w:rPr>
      </w:pPr>
      <w:r w:rsidRPr="0042371C">
        <w:rPr>
          <w:b/>
          <w:bCs/>
        </w:rPr>
        <w:t xml:space="preserve">Observation </w:t>
      </w:r>
      <w:r w:rsidR="0018394A">
        <w:rPr>
          <w:b/>
          <w:bCs/>
        </w:rPr>
        <w:t>2</w:t>
      </w:r>
      <w:r w:rsidRPr="0042371C">
        <w:rPr>
          <w:b/>
          <w:bCs/>
        </w:rPr>
        <w:t xml:space="preserve">: </w:t>
      </w:r>
      <w:r w:rsidR="00DD1A0B" w:rsidRPr="0042371C">
        <w:rPr>
          <w:b/>
          <w:bCs/>
        </w:rPr>
        <w:t>Th</w:t>
      </w:r>
      <w:r w:rsidR="00762170">
        <w:rPr>
          <w:b/>
          <w:bCs/>
        </w:rPr>
        <w:t>e</w:t>
      </w:r>
      <w:r w:rsidR="00DD1A0B" w:rsidRPr="0042371C">
        <w:rPr>
          <w:b/>
          <w:bCs/>
        </w:rPr>
        <w:t xml:space="preserve"> conversion ratio of TDD </w:t>
      </w:r>
      <w:r w:rsidR="008601E9">
        <w:rPr>
          <w:b/>
          <w:bCs/>
        </w:rPr>
        <w:t>BW to</w:t>
      </w:r>
      <w:r w:rsidR="00DD1A0B" w:rsidRPr="0042371C">
        <w:rPr>
          <w:b/>
          <w:bCs/>
        </w:rPr>
        <w:t xml:space="preserve"> FDD BW </w:t>
      </w:r>
      <w:r w:rsidR="00326151" w:rsidRPr="0042371C">
        <w:rPr>
          <w:b/>
          <w:bCs/>
        </w:rPr>
        <w:t xml:space="preserve">should be </w:t>
      </w:r>
      <w:r w:rsidR="000867F6" w:rsidRPr="0042371C">
        <w:rPr>
          <w:b/>
          <w:bCs/>
        </w:rPr>
        <w:t xml:space="preserve">included in the </w:t>
      </w:r>
      <w:r w:rsidR="0042371C" w:rsidRPr="0042371C">
        <w:rPr>
          <w:b/>
          <w:bCs/>
        </w:rPr>
        <w:t>UE total aggregated BW capability</w:t>
      </w:r>
      <w:r w:rsidR="00AD79CC">
        <w:rPr>
          <w:b/>
          <w:bCs/>
        </w:rPr>
        <w:t xml:space="preserve">. </w:t>
      </w:r>
      <w:r w:rsidR="001641BB">
        <w:rPr>
          <w:b/>
          <w:bCs/>
        </w:rPr>
        <w:t>Otherwise,</w:t>
      </w:r>
      <w:r w:rsidR="00AD79CC">
        <w:rPr>
          <w:b/>
          <w:bCs/>
        </w:rPr>
        <w:t xml:space="preserve"> the total aggregated </w:t>
      </w:r>
      <w:r w:rsidR="008601E9">
        <w:rPr>
          <w:b/>
          <w:bCs/>
        </w:rPr>
        <w:t xml:space="preserve">BW </w:t>
      </w:r>
      <w:r w:rsidR="001641BB">
        <w:rPr>
          <w:b/>
          <w:bCs/>
        </w:rPr>
        <w:t>could</w:t>
      </w:r>
      <w:r w:rsidR="00AD79CC">
        <w:rPr>
          <w:b/>
          <w:bCs/>
        </w:rPr>
        <w:t xml:space="preserve"> not correctly represent UE</w:t>
      </w:r>
      <w:r w:rsidR="00BB1DD7">
        <w:rPr>
          <w:b/>
          <w:bCs/>
        </w:rPr>
        <w:t>’s</w:t>
      </w:r>
      <w:r w:rsidR="001641BB">
        <w:rPr>
          <w:b/>
          <w:bCs/>
        </w:rPr>
        <w:t xml:space="preserve"> aggregated </w:t>
      </w:r>
      <w:r w:rsidR="001641BB" w:rsidRPr="001641BB">
        <w:rPr>
          <w:rFonts w:hint="eastAsia"/>
          <w:b/>
          <w:bCs/>
        </w:rPr>
        <w:t>BW</w:t>
      </w:r>
      <w:r w:rsidR="001641BB">
        <w:rPr>
          <w:b/>
          <w:bCs/>
        </w:rPr>
        <w:t xml:space="preserve"> capability.</w:t>
      </w:r>
    </w:p>
    <w:p w14:paraId="6847090F" w14:textId="77777777" w:rsidR="0042371C" w:rsidRDefault="0042371C" w:rsidP="00905D1F"/>
    <w:p w14:paraId="0D22F3C2" w14:textId="6E551899" w:rsidR="00A97C45" w:rsidRPr="00D374E9" w:rsidRDefault="00762170" w:rsidP="00FF6CBB">
      <w:pPr>
        <w:jc w:val="both"/>
        <w:rPr>
          <w:b/>
          <w:bCs/>
        </w:rPr>
      </w:pPr>
      <w:r w:rsidRPr="00D374E9">
        <w:rPr>
          <w:b/>
          <w:bCs/>
        </w:rPr>
        <w:t xml:space="preserve">Proposal 2: </w:t>
      </w:r>
      <w:r w:rsidR="00A10BD5" w:rsidRPr="00D374E9">
        <w:rPr>
          <w:b/>
          <w:bCs/>
        </w:rPr>
        <w:t>The</w:t>
      </w:r>
      <w:r w:rsidR="00CF1CB3" w:rsidRPr="00D374E9">
        <w:rPr>
          <w:b/>
          <w:bCs/>
        </w:rPr>
        <w:t xml:space="preserve"> effective</w:t>
      </w:r>
      <w:r w:rsidR="00A10BD5" w:rsidRPr="00D374E9">
        <w:rPr>
          <w:b/>
          <w:bCs/>
        </w:rPr>
        <w:t xml:space="preserve"> total aggregated BW </w:t>
      </w:r>
      <w:r w:rsidR="00CF1CB3" w:rsidRPr="00D374E9">
        <w:rPr>
          <w:b/>
          <w:bCs/>
        </w:rPr>
        <w:t>is calculated by the formula</w:t>
      </w:r>
      <w:r w:rsidR="00CB2D53" w:rsidRPr="00D374E9">
        <w:rPr>
          <w:b/>
          <w:bCs/>
        </w:rPr>
        <w:t xml:space="preserve">: </w:t>
      </w:r>
      <w:r w:rsidR="000A14AC" w:rsidRPr="00D374E9">
        <w:rPr>
          <w:b/>
          <w:bCs/>
        </w:rPr>
        <w:t xml:space="preserve">Total aggregated BW = </w:t>
      </w:r>
      <w:r w:rsidR="006F2DE2" w:rsidRPr="00D374E9">
        <w:rPr>
          <w:b/>
          <w:bCs/>
        </w:rPr>
        <w:t>x*</w:t>
      </w:r>
      <w:r w:rsidR="000A14AC" w:rsidRPr="00D374E9">
        <w:rPr>
          <w:b/>
          <w:bCs/>
        </w:rPr>
        <w:t xml:space="preserve">FDD BW + TDD BW, where </w:t>
      </w:r>
      <w:r w:rsidR="00A63DEB" w:rsidRPr="00D374E9">
        <w:rPr>
          <w:b/>
          <w:bCs/>
        </w:rPr>
        <w:t>x</w:t>
      </w:r>
      <w:r w:rsidR="00CA3142" w:rsidRPr="00D374E9">
        <w:rPr>
          <w:b/>
          <w:bCs/>
        </w:rPr>
        <w:t xml:space="preserve"> </w:t>
      </w:r>
      <w:r w:rsidR="00AF3C55" w:rsidRPr="00D374E9">
        <w:rPr>
          <w:b/>
          <w:bCs/>
        </w:rPr>
        <w:t xml:space="preserve">is the </w:t>
      </w:r>
      <w:r w:rsidR="00CA3142" w:rsidRPr="00D374E9">
        <w:rPr>
          <w:b/>
          <w:bCs/>
        </w:rPr>
        <w:t xml:space="preserve">conversion ratio </w:t>
      </w:r>
      <w:r w:rsidR="00EB5BB3" w:rsidRPr="00D374E9">
        <w:rPr>
          <w:b/>
          <w:bCs/>
        </w:rPr>
        <w:t>calculated by x</w:t>
      </w:r>
      <w:r w:rsidR="00AF3C55" w:rsidRPr="00D374E9">
        <w:rPr>
          <w:b/>
          <w:bCs/>
        </w:rPr>
        <w:t xml:space="preserve"> = </w:t>
      </w:r>
      <w:r w:rsidR="00615669" w:rsidRPr="00D374E9">
        <w:rPr>
          <w:b/>
          <w:bCs/>
        </w:rPr>
        <w:t>SCS of TDD</w:t>
      </w:r>
      <w:r w:rsidR="008B4053">
        <w:rPr>
          <w:b/>
          <w:bCs/>
        </w:rPr>
        <w:t xml:space="preserve"> band</w:t>
      </w:r>
      <w:r w:rsidR="00615669" w:rsidRPr="00D374E9">
        <w:rPr>
          <w:b/>
          <w:bCs/>
        </w:rPr>
        <w:t xml:space="preserve"> /SCS of FDD</w:t>
      </w:r>
      <w:r w:rsidR="008B4053">
        <w:rPr>
          <w:b/>
          <w:bCs/>
        </w:rPr>
        <w:t xml:space="preserve"> band</w:t>
      </w:r>
      <w:r w:rsidR="00D374E9" w:rsidRPr="00D374E9">
        <w:rPr>
          <w:b/>
          <w:bCs/>
        </w:rPr>
        <w:t>.</w:t>
      </w:r>
    </w:p>
    <w:p w14:paraId="0F9DF555" w14:textId="77777777" w:rsidR="0005777D" w:rsidRPr="00905D1F" w:rsidRDefault="0005777D" w:rsidP="00905D1F"/>
    <w:p w14:paraId="541C251E" w14:textId="5BFBFFD7" w:rsidR="00905D1F" w:rsidRDefault="00905D1F" w:rsidP="00294387">
      <w:pPr>
        <w:pStyle w:val="Heading1"/>
      </w:pPr>
      <w:r>
        <w:t>3 Conclusions</w:t>
      </w:r>
    </w:p>
    <w:p w14:paraId="2F9AB078" w14:textId="31D87F13" w:rsidR="00294387" w:rsidRDefault="00294387" w:rsidP="00294387">
      <w:pPr>
        <w:rPr>
          <w:lang w:val="en-GB" w:eastAsia="ko-KR"/>
        </w:rPr>
      </w:pPr>
      <w:r>
        <w:rPr>
          <w:lang w:val="en-GB" w:eastAsia="ko-KR"/>
        </w:rPr>
        <w:t xml:space="preserve">This paper </w:t>
      </w:r>
      <w:r w:rsidR="007965CB">
        <w:rPr>
          <w:lang w:val="en-GB" w:eastAsia="ko-KR"/>
        </w:rPr>
        <w:t>provides</w:t>
      </w:r>
      <w:r>
        <w:rPr>
          <w:lang w:val="en-GB" w:eastAsia="ko-KR"/>
        </w:rPr>
        <w:t xml:space="preserve"> the views on RAN2’s </w:t>
      </w:r>
      <w:r w:rsidRPr="00025822">
        <w:rPr>
          <w:sz w:val="22"/>
          <w:szCs w:val="22"/>
        </w:rPr>
        <w:t>LS on the CA Aggregated BW capability signaling</w:t>
      </w:r>
      <w:r>
        <w:rPr>
          <w:lang w:val="en-GB" w:eastAsia="ko-KR"/>
        </w:rPr>
        <w:t>. The following observations and proposals were made:</w:t>
      </w:r>
    </w:p>
    <w:p w14:paraId="5A9EB23E" w14:textId="77777777" w:rsidR="00294387" w:rsidRPr="00294387" w:rsidRDefault="00294387" w:rsidP="00294387">
      <w:pPr>
        <w:rPr>
          <w:lang w:val="en-GB" w:eastAsia="ko-KR"/>
        </w:rPr>
      </w:pPr>
    </w:p>
    <w:p w14:paraId="3E4292F1" w14:textId="77777777" w:rsidR="00294387" w:rsidRPr="00025822" w:rsidRDefault="00294387" w:rsidP="00294387">
      <w:pPr>
        <w:spacing w:after="120"/>
        <w:jc w:val="both"/>
        <w:rPr>
          <w:b/>
          <w:bCs/>
          <w:sz w:val="22"/>
          <w:szCs w:val="22"/>
        </w:rPr>
      </w:pPr>
      <w:r w:rsidRPr="00025822">
        <w:rPr>
          <w:b/>
          <w:bCs/>
          <w:sz w:val="22"/>
          <w:szCs w:val="22"/>
        </w:rPr>
        <w:t>Observation 1: Aggregated MIMO layer capability was not suggested in [1] taking into account the simplicity of signaling design.</w:t>
      </w:r>
    </w:p>
    <w:p w14:paraId="0A78C180" w14:textId="0D66A8CD" w:rsidR="00294387" w:rsidRDefault="00294387" w:rsidP="00294387">
      <w:pPr>
        <w:jc w:val="both"/>
        <w:rPr>
          <w:b/>
          <w:bCs/>
          <w:sz w:val="22"/>
          <w:szCs w:val="22"/>
        </w:rPr>
      </w:pPr>
      <w:r w:rsidRPr="00A60FA9">
        <w:rPr>
          <w:b/>
          <w:bCs/>
          <w:sz w:val="22"/>
          <w:szCs w:val="22"/>
        </w:rPr>
        <w:t>Proposal 1: RAN4 suggests not to apply the</w:t>
      </w:r>
      <w:r>
        <w:rPr>
          <w:b/>
          <w:bCs/>
          <w:sz w:val="22"/>
          <w:szCs w:val="22"/>
        </w:rPr>
        <w:t xml:space="preserve"> max</w:t>
      </w:r>
      <w:r w:rsidRPr="00A60FA9">
        <w:rPr>
          <w:b/>
          <w:bCs/>
          <w:sz w:val="22"/>
          <w:szCs w:val="22"/>
        </w:rPr>
        <w:t xml:space="preserve"> aggregated BW capability</w:t>
      </w:r>
      <w:r>
        <w:rPr>
          <w:b/>
          <w:bCs/>
          <w:sz w:val="22"/>
          <w:szCs w:val="22"/>
        </w:rPr>
        <w:t>/IEs</w:t>
      </w:r>
      <w:r w:rsidRPr="00A60FA9">
        <w:rPr>
          <w:b/>
          <w:bCs/>
          <w:sz w:val="22"/>
          <w:szCs w:val="22"/>
        </w:rPr>
        <w:t xml:space="preserve"> for NR DC cases. </w:t>
      </w:r>
    </w:p>
    <w:p w14:paraId="1376B325" w14:textId="77777777" w:rsidR="00294387" w:rsidRPr="00A60FA9" w:rsidRDefault="00294387" w:rsidP="00294387">
      <w:pPr>
        <w:jc w:val="both"/>
        <w:rPr>
          <w:b/>
          <w:bCs/>
          <w:sz w:val="22"/>
          <w:szCs w:val="22"/>
        </w:rPr>
      </w:pPr>
    </w:p>
    <w:p w14:paraId="1A246062" w14:textId="77777777" w:rsidR="00294387" w:rsidRPr="0042371C" w:rsidRDefault="00294387" w:rsidP="00294387">
      <w:pPr>
        <w:jc w:val="both"/>
        <w:rPr>
          <w:b/>
          <w:bCs/>
        </w:rPr>
      </w:pPr>
      <w:r w:rsidRPr="0042371C">
        <w:rPr>
          <w:b/>
          <w:bCs/>
        </w:rPr>
        <w:t xml:space="preserve">Observation </w:t>
      </w:r>
      <w:r>
        <w:rPr>
          <w:b/>
          <w:bCs/>
        </w:rPr>
        <w:t>2</w:t>
      </w:r>
      <w:r w:rsidRPr="0042371C">
        <w:rPr>
          <w:b/>
          <w:bCs/>
        </w:rPr>
        <w:t>: Th</w:t>
      </w:r>
      <w:r>
        <w:rPr>
          <w:b/>
          <w:bCs/>
        </w:rPr>
        <w:t>e</w:t>
      </w:r>
      <w:r w:rsidRPr="0042371C">
        <w:rPr>
          <w:b/>
          <w:bCs/>
        </w:rPr>
        <w:t xml:space="preserve"> conversion ratio of TDD </w:t>
      </w:r>
      <w:r>
        <w:rPr>
          <w:b/>
          <w:bCs/>
        </w:rPr>
        <w:t>BW to</w:t>
      </w:r>
      <w:r w:rsidRPr="0042371C">
        <w:rPr>
          <w:b/>
          <w:bCs/>
        </w:rPr>
        <w:t xml:space="preserve"> FDD BW should be included in the UE total aggregated BW capability</w:t>
      </w:r>
      <w:r>
        <w:rPr>
          <w:b/>
          <w:bCs/>
        </w:rPr>
        <w:t xml:space="preserve">. Otherwise, the total aggregated BW could not correctly represent UE’s aggregated </w:t>
      </w:r>
      <w:r w:rsidRPr="001641BB">
        <w:rPr>
          <w:rFonts w:hint="eastAsia"/>
          <w:b/>
          <w:bCs/>
        </w:rPr>
        <w:t>BW</w:t>
      </w:r>
      <w:r>
        <w:rPr>
          <w:b/>
          <w:bCs/>
        </w:rPr>
        <w:t xml:space="preserve"> capability.</w:t>
      </w:r>
    </w:p>
    <w:p w14:paraId="00925B95" w14:textId="77777777" w:rsidR="00294387" w:rsidRDefault="00294387" w:rsidP="00294387"/>
    <w:p w14:paraId="09D01DA7" w14:textId="4E9284B6" w:rsidR="00294387" w:rsidRPr="00D374E9" w:rsidRDefault="00294387" w:rsidP="00294387">
      <w:pPr>
        <w:jc w:val="both"/>
        <w:rPr>
          <w:b/>
          <w:bCs/>
        </w:rPr>
      </w:pPr>
      <w:r w:rsidRPr="00D374E9">
        <w:rPr>
          <w:b/>
          <w:bCs/>
        </w:rPr>
        <w:t xml:space="preserve">Proposal 2: The effective total aggregated BW is calculated by the formula: Total aggregated BW = </w:t>
      </w:r>
      <w:r>
        <w:rPr>
          <w:b/>
          <w:bCs/>
        </w:rPr>
        <w:t>x</w:t>
      </w:r>
      <w:r w:rsidRPr="00D374E9">
        <w:rPr>
          <w:b/>
          <w:bCs/>
        </w:rPr>
        <w:t>*FDD BW + TDD BW, where x is the conversion ratio calculated by x = SCS of TDD</w:t>
      </w:r>
      <w:r>
        <w:rPr>
          <w:b/>
          <w:bCs/>
        </w:rPr>
        <w:t xml:space="preserve"> band</w:t>
      </w:r>
      <w:r w:rsidRPr="00D374E9">
        <w:rPr>
          <w:b/>
          <w:bCs/>
        </w:rPr>
        <w:t xml:space="preserve"> /SCS of FDD</w:t>
      </w:r>
      <w:r>
        <w:rPr>
          <w:b/>
          <w:bCs/>
        </w:rPr>
        <w:t xml:space="preserve"> band</w:t>
      </w:r>
      <w:r w:rsidRPr="00D374E9">
        <w:rPr>
          <w:b/>
          <w:bCs/>
        </w:rPr>
        <w:t>.</w:t>
      </w:r>
    </w:p>
    <w:p w14:paraId="5A8A60D7" w14:textId="77777777" w:rsidR="00CF4517" w:rsidRDefault="00CF4517"/>
    <w:p w14:paraId="55A4900A" w14:textId="77777777" w:rsidR="00905D1F" w:rsidRDefault="00905D1F" w:rsidP="00905D1F">
      <w:pPr>
        <w:pStyle w:val="Heading1"/>
      </w:pPr>
      <w:r>
        <w:lastRenderedPageBreak/>
        <w:t>4 References</w:t>
      </w:r>
    </w:p>
    <w:p w14:paraId="2536BB75" w14:textId="045B74AF" w:rsidR="00905D1F" w:rsidRDefault="00905D1F" w:rsidP="00905D1F">
      <w:pPr>
        <w:pStyle w:val="EX"/>
        <w:rPr>
          <w:sz w:val="22"/>
          <w:szCs w:val="22"/>
        </w:rPr>
      </w:pPr>
      <w:r w:rsidRPr="00905D1F">
        <w:rPr>
          <w:sz w:val="22"/>
          <w:szCs w:val="22"/>
        </w:rPr>
        <w:t>R4-2303685</w:t>
      </w:r>
      <w:r>
        <w:rPr>
          <w:sz w:val="22"/>
          <w:szCs w:val="22"/>
        </w:rPr>
        <w:t xml:space="preserve">, </w:t>
      </w:r>
      <w:r w:rsidR="009E59E4" w:rsidRPr="009E59E4">
        <w:rPr>
          <w:sz w:val="22"/>
          <w:szCs w:val="22"/>
        </w:rPr>
        <w:t>LS on UE signalling for the maximum aggregated bandwidth for FR1 CA</w:t>
      </w:r>
      <w:r>
        <w:rPr>
          <w:sz w:val="22"/>
          <w:szCs w:val="22"/>
        </w:rPr>
        <w:t xml:space="preserve">, </w:t>
      </w:r>
      <w:r w:rsidR="009E59E4">
        <w:rPr>
          <w:sz w:val="22"/>
          <w:szCs w:val="22"/>
        </w:rPr>
        <w:t>Qualcomm, RAN4#106</w:t>
      </w:r>
    </w:p>
    <w:p w14:paraId="3FC23997" w14:textId="280BFC36" w:rsidR="00905D1F" w:rsidRDefault="009E59E4" w:rsidP="00905D1F">
      <w:pPr>
        <w:pStyle w:val="EX"/>
        <w:rPr>
          <w:sz w:val="22"/>
          <w:szCs w:val="22"/>
        </w:rPr>
      </w:pPr>
      <w:r w:rsidRPr="009E59E4">
        <w:rPr>
          <w:sz w:val="22"/>
          <w:szCs w:val="22"/>
        </w:rPr>
        <w:t>R2-2311440</w:t>
      </w:r>
      <w:r w:rsidR="00905D1F">
        <w:rPr>
          <w:sz w:val="22"/>
          <w:szCs w:val="22"/>
        </w:rPr>
        <w:t xml:space="preserve">, </w:t>
      </w:r>
      <w:r w:rsidRPr="009E59E4">
        <w:rPr>
          <w:sz w:val="22"/>
          <w:szCs w:val="22"/>
        </w:rPr>
        <w:t xml:space="preserve">LS on the CA Aggregated BW capability </w:t>
      </w:r>
      <w:proofErr w:type="spellStart"/>
      <w:r w:rsidRPr="009E59E4">
        <w:rPr>
          <w:sz w:val="22"/>
          <w:szCs w:val="22"/>
        </w:rPr>
        <w:t>signaling</w:t>
      </w:r>
      <w:proofErr w:type="spellEnd"/>
      <w:r w:rsidRPr="009E59E4">
        <w:rPr>
          <w:sz w:val="22"/>
          <w:szCs w:val="22"/>
        </w:rPr>
        <w:t xml:space="preserve"> by the UE</w:t>
      </w:r>
      <w:r>
        <w:rPr>
          <w:sz w:val="22"/>
          <w:szCs w:val="22"/>
        </w:rPr>
        <w:t>, Apple, RAN2#123bis</w:t>
      </w:r>
    </w:p>
    <w:p w14:paraId="277BDB9B" w14:textId="77777777" w:rsidR="00905D1F" w:rsidRPr="00905D1F" w:rsidRDefault="00905D1F">
      <w:pPr>
        <w:rPr>
          <w:lang w:val="en-GB"/>
        </w:rPr>
      </w:pPr>
    </w:p>
    <w:sectPr w:rsidR="00905D1F" w:rsidRPr="00905D1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EA2B31" w14:textId="77777777" w:rsidR="008154D9" w:rsidRDefault="008154D9" w:rsidP="008B06D5">
      <w:r>
        <w:separator/>
      </w:r>
    </w:p>
  </w:endnote>
  <w:endnote w:type="continuationSeparator" w:id="0">
    <w:p w14:paraId="3533601E" w14:textId="77777777" w:rsidR="008154D9" w:rsidRDefault="008154D9" w:rsidP="008B06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1CD1A5" w14:textId="77777777" w:rsidR="008154D9" w:rsidRDefault="008154D9" w:rsidP="008B06D5">
      <w:r>
        <w:separator/>
      </w:r>
    </w:p>
  </w:footnote>
  <w:footnote w:type="continuationSeparator" w:id="0">
    <w:p w14:paraId="5DAAABB1" w14:textId="77777777" w:rsidR="008154D9" w:rsidRDefault="008154D9" w:rsidP="008B06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AF43B7"/>
    <w:multiLevelType w:val="hybridMultilevel"/>
    <w:tmpl w:val="F490C9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A33CCC"/>
    <w:multiLevelType w:val="hybridMultilevel"/>
    <w:tmpl w:val="4D980E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DC6415"/>
    <w:multiLevelType w:val="hybridMultilevel"/>
    <w:tmpl w:val="B0D6A9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21336461">
    <w:abstractNumId w:val="0"/>
  </w:num>
  <w:num w:numId="2" w16cid:durableId="1950770977">
    <w:abstractNumId w:val="1"/>
  </w:num>
  <w:num w:numId="3" w16cid:durableId="2093503014">
    <w:abstractNumId w:val="1"/>
  </w:num>
  <w:num w:numId="4" w16cid:durableId="745104849">
    <w:abstractNumId w:val="3"/>
  </w:num>
  <w:num w:numId="5" w16cid:durableId="70872069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20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0BB3"/>
    <w:rsid w:val="00025822"/>
    <w:rsid w:val="00046FF9"/>
    <w:rsid w:val="00052654"/>
    <w:rsid w:val="00052A6F"/>
    <w:rsid w:val="0005777D"/>
    <w:rsid w:val="000867F6"/>
    <w:rsid w:val="00093D3D"/>
    <w:rsid w:val="00093EE7"/>
    <w:rsid w:val="0009768D"/>
    <w:rsid w:val="000A14AC"/>
    <w:rsid w:val="000A5D9F"/>
    <w:rsid w:val="000D39B0"/>
    <w:rsid w:val="000F21E4"/>
    <w:rsid w:val="00106059"/>
    <w:rsid w:val="00155069"/>
    <w:rsid w:val="001641BB"/>
    <w:rsid w:val="00176F0A"/>
    <w:rsid w:val="0018394A"/>
    <w:rsid w:val="00186996"/>
    <w:rsid w:val="001A0D8F"/>
    <w:rsid w:val="001D2386"/>
    <w:rsid w:val="002136F4"/>
    <w:rsid w:val="002224FC"/>
    <w:rsid w:val="0022448D"/>
    <w:rsid w:val="0025722B"/>
    <w:rsid w:val="00262DC5"/>
    <w:rsid w:val="002755E1"/>
    <w:rsid w:val="00294387"/>
    <w:rsid w:val="002B3C79"/>
    <w:rsid w:val="002B3FA9"/>
    <w:rsid w:val="002C12F7"/>
    <w:rsid w:val="002C767D"/>
    <w:rsid w:val="002D6B0D"/>
    <w:rsid w:val="002F0375"/>
    <w:rsid w:val="002F71C8"/>
    <w:rsid w:val="00316A20"/>
    <w:rsid w:val="00326151"/>
    <w:rsid w:val="00353CE7"/>
    <w:rsid w:val="003A434B"/>
    <w:rsid w:val="003F0F2D"/>
    <w:rsid w:val="0042371C"/>
    <w:rsid w:val="004452EB"/>
    <w:rsid w:val="0044572A"/>
    <w:rsid w:val="004521BA"/>
    <w:rsid w:val="00454D52"/>
    <w:rsid w:val="00456346"/>
    <w:rsid w:val="00490153"/>
    <w:rsid w:val="00496CA4"/>
    <w:rsid w:val="004E7A5E"/>
    <w:rsid w:val="00530506"/>
    <w:rsid w:val="00553C28"/>
    <w:rsid w:val="00565450"/>
    <w:rsid w:val="00565E8C"/>
    <w:rsid w:val="00570926"/>
    <w:rsid w:val="00574CC7"/>
    <w:rsid w:val="00582BBA"/>
    <w:rsid w:val="0058332F"/>
    <w:rsid w:val="0058426A"/>
    <w:rsid w:val="00596C4B"/>
    <w:rsid w:val="005A2F0A"/>
    <w:rsid w:val="005B0111"/>
    <w:rsid w:val="005B1F80"/>
    <w:rsid w:val="005B4D59"/>
    <w:rsid w:val="005C7CDF"/>
    <w:rsid w:val="005D5B26"/>
    <w:rsid w:val="005E32D0"/>
    <w:rsid w:val="005F29C0"/>
    <w:rsid w:val="0060595F"/>
    <w:rsid w:val="00615669"/>
    <w:rsid w:val="006373AA"/>
    <w:rsid w:val="00673EF2"/>
    <w:rsid w:val="006A3BB6"/>
    <w:rsid w:val="006F2DE2"/>
    <w:rsid w:val="00734AFF"/>
    <w:rsid w:val="0075643C"/>
    <w:rsid w:val="00762170"/>
    <w:rsid w:val="00786912"/>
    <w:rsid w:val="007965CB"/>
    <w:rsid w:val="00796DD5"/>
    <w:rsid w:val="0079743E"/>
    <w:rsid w:val="007B7940"/>
    <w:rsid w:val="007C2D3F"/>
    <w:rsid w:val="008000AD"/>
    <w:rsid w:val="008154D9"/>
    <w:rsid w:val="00826115"/>
    <w:rsid w:val="00841FAC"/>
    <w:rsid w:val="00854C5E"/>
    <w:rsid w:val="008601E9"/>
    <w:rsid w:val="008659F0"/>
    <w:rsid w:val="00872631"/>
    <w:rsid w:val="008B06D5"/>
    <w:rsid w:val="008B3D90"/>
    <w:rsid w:val="008B4053"/>
    <w:rsid w:val="008C09B3"/>
    <w:rsid w:val="008C72FB"/>
    <w:rsid w:val="008E2F76"/>
    <w:rsid w:val="008E6570"/>
    <w:rsid w:val="008F2774"/>
    <w:rsid w:val="00905434"/>
    <w:rsid w:val="00905D1F"/>
    <w:rsid w:val="00912E5F"/>
    <w:rsid w:val="009349F1"/>
    <w:rsid w:val="00944CEC"/>
    <w:rsid w:val="00947C41"/>
    <w:rsid w:val="00957175"/>
    <w:rsid w:val="00974DB6"/>
    <w:rsid w:val="00976BF8"/>
    <w:rsid w:val="0098593B"/>
    <w:rsid w:val="009970BE"/>
    <w:rsid w:val="009A799E"/>
    <w:rsid w:val="009B4CEE"/>
    <w:rsid w:val="009C19E1"/>
    <w:rsid w:val="009C48DF"/>
    <w:rsid w:val="009C79CE"/>
    <w:rsid w:val="009E59E4"/>
    <w:rsid w:val="00A10BD5"/>
    <w:rsid w:val="00A3532B"/>
    <w:rsid w:val="00A41391"/>
    <w:rsid w:val="00A60FA9"/>
    <w:rsid w:val="00A63DEB"/>
    <w:rsid w:val="00A649E7"/>
    <w:rsid w:val="00A97C45"/>
    <w:rsid w:val="00AA0605"/>
    <w:rsid w:val="00AB40F4"/>
    <w:rsid w:val="00AB4613"/>
    <w:rsid w:val="00AD42CC"/>
    <w:rsid w:val="00AD79CC"/>
    <w:rsid w:val="00AF1173"/>
    <w:rsid w:val="00AF3C55"/>
    <w:rsid w:val="00B01466"/>
    <w:rsid w:val="00B10BB3"/>
    <w:rsid w:val="00B12DA4"/>
    <w:rsid w:val="00B20B4F"/>
    <w:rsid w:val="00B22F3A"/>
    <w:rsid w:val="00B53B25"/>
    <w:rsid w:val="00B90F66"/>
    <w:rsid w:val="00BB1DD7"/>
    <w:rsid w:val="00C0719C"/>
    <w:rsid w:val="00C40BC8"/>
    <w:rsid w:val="00C564CE"/>
    <w:rsid w:val="00C628BF"/>
    <w:rsid w:val="00CA3142"/>
    <w:rsid w:val="00CA3C9E"/>
    <w:rsid w:val="00CA7369"/>
    <w:rsid w:val="00CB2D53"/>
    <w:rsid w:val="00CF1CB3"/>
    <w:rsid w:val="00CF4517"/>
    <w:rsid w:val="00D361FA"/>
    <w:rsid w:val="00D374E9"/>
    <w:rsid w:val="00D779FB"/>
    <w:rsid w:val="00D87D1F"/>
    <w:rsid w:val="00DA088F"/>
    <w:rsid w:val="00DA575E"/>
    <w:rsid w:val="00DA62C8"/>
    <w:rsid w:val="00DD1A0B"/>
    <w:rsid w:val="00DD69F3"/>
    <w:rsid w:val="00DE1D0C"/>
    <w:rsid w:val="00E03403"/>
    <w:rsid w:val="00E0611E"/>
    <w:rsid w:val="00E2786D"/>
    <w:rsid w:val="00E27C5B"/>
    <w:rsid w:val="00E34E25"/>
    <w:rsid w:val="00E55622"/>
    <w:rsid w:val="00E70083"/>
    <w:rsid w:val="00EB5BB3"/>
    <w:rsid w:val="00EF1A50"/>
    <w:rsid w:val="00F32B99"/>
    <w:rsid w:val="00F450DA"/>
    <w:rsid w:val="00F45806"/>
    <w:rsid w:val="00F55822"/>
    <w:rsid w:val="00F601E0"/>
    <w:rsid w:val="00F74DE0"/>
    <w:rsid w:val="00F860FC"/>
    <w:rsid w:val="00F9713A"/>
    <w:rsid w:val="00FA7E9B"/>
    <w:rsid w:val="00FD185F"/>
    <w:rsid w:val="00FF6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03EF9740"/>
  <w15:chartTrackingRefBased/>
  <w15:docId w15:val="{DCE0629E-2183-449F-B383-E43EB41C2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06D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Heading1">
    <w:name w:val="heading 1"/>
    <w:next w:val="Normal"/>
    <w:link w:val="Heading1Char"/>
    <w:qFormat/>
    <w:rsid w:val="008B06D5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kern w:val="0"/>
      <w:sz w:val="36"/>
      <w:szCs w:val="20"/>
      <w:lang w:val="en-GB" w:eastAsia="ko-KR"/>
      <w14:ligatures w14:val="non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B06D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96C4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8B06D5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8B06D5"/>
  </w:style>
  <w:style w:type="paragraph" w:styleId="Footer">
    <w:name w:val="footer"/>
    <w:basedOn w:val="Normal"/>
    <w:link w:val="FooterChar"/>
    <w:uiPriority w:val="99"/>
    <w:unhideWhenUsed/>
    <w:rsid w:val="008B06D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B06D5"/>
  </w:style>
  <w:style w:type="character" w:customStyle="1" w:styleId="Heading1Char">
    <w:name w:val="Heading 1 Char"/>
    <w:basedOn w:val="DefaultParagraphFont"/>
    <w:link w:val="Heading1"/>
    <w:rsid w:val="008B06D5"/>
    <w:rPr>
      <w:rFonts w:ascii="Arial" w:hAnsi="Arial" w:cs="Times New Roman"/>
      <w:kern w:val="0"/>
      <w:sz w:val="36"/>
      <w:szCs w:val="20"/>
      <w:lang w:val="en-GB" w:eastAsia="ko-KR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8B06D5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customStyle="1" w:styleId="EX">
    <w:name w:val="EX"/>
    <w:basedOn w:val="Normal"/>
    <w:rsid w:val="00905D1F"/>
    <w:pPr>
      <w:keepLines/>
      <w:numPr>
        <w:numId w:val="1"/>
      </w:numPr>
      <w:spacing w:after="180"/>
    </w:pPr>
    <w:rPr>
      <w:sz w:val="2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F45806"/>
    <w:pPr>
      <w:ind w:left="720"/>
    </w:pPr>
    <w:rPr>
      <w:rFonts w:ascii="Calibri" w:eastAsiaTheme="minorEastAsia" w:hAnsi="Calibri" w:cs="Calibri"/>
      <w:sz w:val="22"/>
      <w:szCs w:val="2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96C4B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paragraph" w:customStyle="1" w:styleId="B1">
    <w:name w:val="B1"/>
    <w:basedOn w:val="Normal"/>
    <w:link w:val="B1Char"/>
    <w:qFormat/>
    <w:rsid w:val="00596C4B"/>
    <w:pPr>
      <w:spacing w:after="180"/>
      <w:ind w:left="568" w:hanging="284"/>
    </w:pPr>
    <w:rPr>
      <w:rFonts w:eastAsiaTheme="minorEastAsia"/>
      <w:sz w:val="20"/>
      <w:szCs w:val="20"/>
      <w:lang w:val="en-GB" w:eastAsia="en-US"/>
    </w:rPr>
  </w:style>
  <w:style w:type="character" w:customStyle="1" w:styleId="B1Char">
    <w:name w:val="B1 Char"/>
    <w:link w:val="B1"/>
    <w:qFormat/>
    <w:rsid w:val="00596C4B"/>
    <w:rPr>
      <w:rFonts w:ascii="Times New Roman" w:hAnsi="Times New Roman" w:cs="Times New Roman"/>
      <w:kern w:val="0"/>
      <w:sz w:val="20"/>
      <w:szCs w:val="20"/>
      <w:lang w:val="en-GB" w:eastAsia="en-US"/>
      <w14:ligatures w14:val="none"/>
    </w:rPr>
  </w:style>
  <w:style w:type="table" w:styleId="TableGrid">
    <w:name w:val="Table Grid"/>
    <w:basedOn w:val="TableNormal"/>
    <w:uiPriority w:val="39"/>
    <w:rsid w:val="009571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441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575</TotalTime>
  <Pages>4</Pages>
  <Words>912</Words>
  <Characters>5202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Qualcomm_Bin Han_v2</dc:creator>
  <cp:keywords/>
  <dc:description/>
  <cp:lastModifiedBy>Qualcomm_Bin Han</cp:lastModifiedBy>
  <cp:revision>166</cp:revision>
  <dcterms:created xsi:type="dcterms:W3CDTF">2023-10-31T11:37:00Z</dcterms:created>
  <dcterms:modified xsi:type="dcterms:W3CDTF">2023-11-03T19:35:00Z</dcterms:modified>
</cp:coreProperties>
</file>